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eastAsia="方正小标宋_GBK"/>
          <w:sz w:val="44"/>
          <w:szCs w:val="44"/>
        </w:rPr>
      </w:pPr>
      <w:r>
        <w:rPr>
          <w:rFonts w:eastAsia="方正小标宋_GBK" w:hint="eastAsia"/>
          <w:sz w:val="44"/>
          <w:szCs w:val="44"/>
        </w:rPr>
        <w:t>“</w:t>
      </w:r>
      <w:r>
        <w:rPr>
          <w:rFonts w:eastAsia="方正小标宋_GBK"/>
          <w:sz w:val="44"/>
          <w:szCs w:val="44"/>
        </w:rPr>
        <w:t>进境非食用动物产品存放、加工过程的</w:t>
      </w:r>
    </w:p>
    <w:p>
      <w:pPr>
        <w:spacing w:line="560" w:lineRule="exact"/>
        <w:jc w:val="center"/>
        <w:rPr>
          <w:rFonts w:eastAsia="方正小标宋_GBK" w:hint="eastAsia"/>
          <w:sz w:val="44"/>
          <w:szCs w:val="44"/>
        </w:rPr>
      </w:pPr>
      <w:r>
        <w:rPr>
          <w:rFonts w:eastAsia="方正小标宋_GBK"/>
          <w:sz w:val="44"/>
          <w:szCs w:val="44"/>
        </w:rPr>
        <w:t>检疫监督</w:t>
      </w:r>
      <w:r>
        <w:rPr>
          <w:rFonts w:eastAsia="方正小标宋_GBK" w:hint="eastAsia"/>
          <w:sz w:val="44"/>
          <w:szCs w:val="44"/>
        </w:rPr>
        <w:t>”</w:t>
      </w:r>
    </w:p>
    <w:p>
      <w:pPr>
        <w:spacing w:line="560" w:lineRule="exact"/>
        <w:jc w:val="center"/>
        <w:rPr>
          <w:rFonts w:eastAsia="方正小标宋_GBK"/>
          <w:sz w:val="44"/>
          <w:szCs w:val="44"/>
        </w:rPr>
      </w:pPr>
      <w:r>
        <w:rPr>
          <w:rFonts w:eastAsia="方正小标宋_GBK"/>
          <w:sz w:val="44"/>
          <w:szCs w:val="44"/>
        </w:rPr>
        <w:t>政务服务事项办事指南</w:t>
      </w:r>
    </w:p>
    <w:p>
      <w:pPr>
        <w:spacing w:line="560" w:lineRule="exact"/>
        <w:ind w:firstLineChars="200" w:firstLine="880"/>
        <w:rPr>
          <w:rFonts w:eastAsia="方正小标宋_GBK"/>
          <w:sz w:val="44"/>
          <w:szCs w:val="44"/>
        </w:rPr>
      </w:pPr>
    </w:p>
    <w:p>
      <w:pPr>
        <w:spacing w:line="560" w:lineRule="exact"/>
        <w:ind w:firstLineChars="200" w:firstLine="640"/>
        <w:rPr>
          <w:rFonts w:eastAsia="方正小标宋_GBK"/>
          <w:sz w:val="32"/>
          <w:szCs w:val="32"/>
        </w:rPr>
      </w:pPr>
      <w:r>
        <w:rPr>
          <w:rFonts w:eastAsia="方正黑体_GBK"/>
          <w:sz w:val="32"/>
          <w:szCs w:val="32"/>
        </w:rPr>
        <w:t>一、事项名称：</w:t>
      </w:r>
      <w:r>
        <w:rPr>
          <w:rFonts w:eastAsia="方正仿宋_GBK"/>
          <w:bCs/>
          <w:sz w:val="32"/>
          <w:szCs w:val="32"/>
        </w:rPr>
        <w:t>进境非食用动物产品存放、加工过程的检疫监督。</w:t>
      </w:r>
    </w:p>
    <w:p>
      <w:pPr>
        <w:spacing w:line="560" w:lineRule="exact"/>
        <w:ind w:firstLineChars="200" w:firstLine="640"/>
        <w:rPr>
          <w:rFonts w:eastAsia="方正仿宋_GBK"/>
          <w:bCs/>
          <w:sz w:val="32"/>
          <w:szCs w:val="32"/>
        </w:rPr>
      </w:pPr>
      <w:r>
        <w:rPr>
          <w:rFonts w:eastAsia="方正黑体_GBK"/>
          <w:bCs/>
          <w:sz w:val="32"/>
          <w:szCs w:val="32"/>
        </w:rPr>
        <w:t>二、事项类型：</w:t>
      </w:r>
      <w:r>
        <w:rPr>
          <w:rFonts w:eastAsia="方正仿宋_GBK"/>
          <w:bCs/>
          <w:sz w:val="32"/>
          <w:szCs w:val="32"/>
        </w:rPr>
        <w:t>行政检查。</w:t>
      </w:r>
    </w:p>
    <w:p>
      <w:pPr>
        <w:widowControl/>
        <w:spacing w:line="560" w:lineRule="exact"/>
        <w:ind w:firstLineChars="200" w:firstLine="640"/>
        <w:rPr>
          <w:rFonts w:eastAsia="方正黑体_GBK"/>
          <w:bCs/>
          <w:sz w:val="32"/>
          <w:szCs w:val="32"/>
        </w:rPr>
      </w:pPr>
      <w:r>
        <w:rPr>
          <w:rFonts w:eastAsia="方正黑体_GBK"/>
          <w:bCs/>
          <w:sz w:val="32"/>
          <w:szCs w:val="32"/>
        </w:rPr>
        <w:t>三、设定依据：</w:t>
      </w:r>
    </w:p>
    <w:p>
      <w:pPr>
        <w:widowControl/>
        <w:spacing w:line="560" w:lineRule="exact"/>
        <w:ind w:firstLineChars="200" w:firstLine="640"/>
        <w:rPr>
          <w:rFonts w:eastAsia="方正仿宋_GBK"/>
          <w:bCs/>
          <w:sz w:val="32"/>
          <w:szCs w:val="32"/>
        </w:rPr>
      </w:pPr>
      <w:r>
        <w:rPr>
          <w:rFonts w:eastAsia="方正仿宋_GBK"/>
          <w:bCs/>
          <w:sz w:val="32"/>
          <w:szCs w:val="32"/>
        </w:rPr>
        <w:t>（一）《中华人民共和国进出境动植物检疫法》第七条：国家动植物检疫机关和口岸动植物检疫机关对进出境动植物、动植物产品的生产、加工、存放过程，实施检疫监督制度。</w:t>
      </w:r>
    </w:p>
    <w:p>
      <w:pPr>
        <w:widowControl/>
        <w:spacing w:line="560" w:lineRule="exact"/>
        <w:ind w:firstLineChars="200" w:firstLine="640"/>
        <w:rPr>
          <w:rFonts w:eastAsia="方正仿宋_GBK"/>
          <w:bCs/>
          <w:sz w:val="32"/>
          <w:szCs w:val="32"/>
        </w:rPr>
      </w:pPr>
      <w:r>
        <w:rPr>
          <w:rFonts w:eastAsia="方正仿宋_GBK"/>
          <w:bCs/>
          <w:sz w:val="32"/>
          <w:szCs w:val="32"/>
        </w:rPr>
        <w:t>（二）《中华人民共和国进出境动植物检疫法实施条例》第五十三条：国家动植物检疫局和口岸动植物检疫机关对进出境动植物、动植物产品的生产、加工、存放过程，实施检疫监督制度。</w:t>
      </w:r>
    </w:p>
    <w:p>
      <w:pPr>
        <w:widowControl/>
        <w:spacing w:line="560" w:lineRule="exact"/>
        <w:ind w:firstLineChars="200" w:firstLine="640"/>
        <w:jc w:val="left"/>
        <w:rPr>
          <w:rFonts w:eastAsia="方正仿宋_GBK"/>
          <w:kern w:val="0"/>
          <w:sz w:val="32"/>
          <w:szCs w:val="28"/>
        </w:rPr>
      </w:pPr>
      <w:r>
        <w:rPr>
          <w:rFonts w:eastAsia="方正仿宋_GBK"/>
          <w:bCs/>
          <w:sz w:val="32"/>
          <w:szCs w:val="32"/>
        </w:rPr>
        <w:t>（三）《进出境非食用动物产品检验检疫监督管理办法》第二十一条：</w:t>
      </w:r>
      <w:r>
        <w:rPr>
          <w:rFonts w:eastAsia="方正仿宋_GBK"/>
          <w:kern w:val="0"/>
          <w:sz w:val="32"/>
          <w:szCs w:val="28"/>
        </w:rPr>
        <w:t>因口岸条件限制等原因，进境后应当运往指定企业检疫的非食用动物产品，由进境口岸海关实施现场查验和相应防疫消毒处理后，通知指定企业所在地海关。货主或者其代理人将非食用动物产品运往检疫许可证列明的指定企业后，应当向指定企业所在地海关申报，由指定企业所在地海关实施检验检疫，并对存放、加工过程实施检疫监督。第三十一条：海关对进境非食用动物产品存放、加工过程，实施检疫监督制度。</w:t>
      </w:r>
    </w:p>
    <w:p>
      <w:pPr>
        <w:spacing w:line="560" w:lineRule="exact"/>
        <w:ind w:firstLineChars="200" w:firstLine="640"/>
        <w:rPr>
          <w:rFonts w:eastAsia="方正仿宋_GBK"/>
          <w:bCs/>
          <w:sz w:val="32"/>
          <w:szCs w:val="32"/>
        </w:rPr>
      </w:pPr>
      <w:r>
        <w:rPr>
          <w:rFonts w:eastAsia="方正黑体_GBK"/>
          <w:bCs/>
          <w:sz w:val="32"/>
          <w:szCs w:val="32"/>
        </w:rPr>
        <w:t>四、实施机构：</w:t>
      </w:r>
      <w:r>
        <w:rPr>
          <w:rFonts w:eastAsia="方正仿宋_GBK"/>
          <w:bCs/>
          <w:kern w:val="0"/>
          <w:sz w:val="32"/>
          <w:szCs w:val="28"/>
        </w:rPr>
        <w:t>成都</w:t>
      </w:r>
      <w:r>
        <w:rPr>
          <w:rFonts w:eastAsia="方正仿宋_GBK"/>
          <w:bCs/>
          <w:sz w:val="32"/>
          <w:szCs w:val="32"/>
        </w:rPr>
        <w:t>海关、各隶属海关。</w:t>
      </w:r>
    </w:p>
    <w:p>
      <w:pPr>
        <w:spacing w:line="560" w:lineRule="exact"/>
        <w:ind w:firstLineChars="200" w:firstLine="640"/>
        <w:rPr>
          <w:rFonts w:eastAsia="方正黑体_GBK"/>
          <w:bCs/>
          <w:sz w:val="32"/>
          <w:szCs w:val="32"/>
        </w:rPr>
      </w:pPr>
      <w:r>
        <w:rPr>
          <w:rFonts w:eastAsia="方正黑体_GBK"/>
          <w:bCs/>
          <w:sz w:val="32"/>
          <w:szCs w:val="32"/>
        </w:rPr>
        <w:t>五、法定办结时限：</w:t>
      </w:r>
      <w:r>
        <w:rPr>
          <w:rFonts w:eastAsia="方正仿宋_GBK"/>
          <w:bCs/>
          <w:sz w:val="32"/>
          <w:szCs w:val="32"/>
        </w:rPr>
        <w:t>无。</w:t>
      </w:r>
    </w:p>
    <w:p>
      <w:pPr>
        <w:spacing w:line="560" w:lineRule="exact"/>
        <w:ind w:firstLineChars="200" w:firstLine="640"/>
        <w:rPr>
          <w:rFonts w:eastAsia="方正仿宋_GBK"/>
          <w:bCs/>
          <w:sz w:val="32"/>
          <w:szCs w:val="32"/>
        </w:rPr>
      </w:pPr>
      <w:r>
        <w:rPr>
          <w:rFonts w:eastAsia="方正黑体_GBK"/>
          <w:bCs/>
          <w:sz w:val="32"/>
          <w:szCs w:val="32"/>
        </w:rPr>
        <w:t>六、承诺办结时限</w:t>
      </w:r>
      <w:r>
        <w:rPr>
          <w:rFonts w:eastAsia="方正仿宋_GBK"/>
          <w:bCs/>
          <w:sz w:val="32"/>
          <w:szCs w:val="32"/>
        </w:rPr>
        <w:t>：20个工作日。</w:t>
      </w:r>
    </w:p>
    <w:p>
      <w:pPr>
        <w:spacing w:line="560" w:lineRule="exact"/>
        <w:ind w:firstLineChars="200" w:firstLine="640"/>
        <w:rPr>
          <w:rFonts w:eastAsia="方正仿宋_GBK"/>
          <w:bCs/>
          <w:sz w:val="32"/>
          <w:szCs w:val="32"/>
        </w:rPr>
      </w:pPr>
      <w:r>
        <w:rPr>
          <w:rFonts w:eastAsia="方正黑体_GBK"/>
          <w:bCs/>
          <w:sz w:val="32"/>
          <w:szCs w:val="32"/>
        </w:rPr>
        <w:t>七、结果名称：</w:t>
      </w:r>
      <w:r>
        <w:rPr>
          <w:rFonts w:eastAsia="方正仿宋_GBK"/>
          <w:bCs/>
          <w:sz w:val="32"/>
          <w:szCs w:val="32"/>
        </w:rPr>
        <w:t>进境非食用动物产品存放、加工指定企业。</w:t>
      </w:r>
    </w:p>
    <w:p>
      <w:pPr>
        <w:spacing w:line="560" w:lineRule="exact"/>
        <w:ind w:firstLineChars="200" w:firstLine="640"/>
        <w:rPr>
          <w:rFonts w:eastAsia="方正仿宋_GBK"/>
          <w:bCs/>
          <w:sz w:val="32"/>
          <w:szCs w:val="32"/>
          <w:highlight w:val="auto"/>
        </w:rPr>
      </w:pPr>
      <w:r>
        <w:rPr>
          <w:rFonts w:eastAsia="方正黑体_GBK"/>
          <w:bCs/>
          <w:sz w:val="32"/>
          <w:szCs w:val="32"/>
          <w:lang w:val="en-US" w:eastAsia="zh-CN"/>
          <w:highlight w:val="auto"/>
        </w:rPr>
        <w:t>八</w:t>
      </w:r>
      <w:r>
        <w:rPr>
          <w:rFonts w:eastAsia="方正黑体_GBK"/>
          <w:bCs/>
          <w:sz w:val="32"/>
          <w:szCs w:val="32"/>
          <w:highlight w:val="auto"/>
        </w:rPr>
        <w:t>、结果样本：</w:t>
      </w:r>
      <w:r>
        <w:rPr>
          <w:rFonts w:eastAsia="方正仿宋_GBK"/>
          <w:bCs/>
          <w:sz w:val="32"/>
          <w:szCs w:val="32"/>
          <w:highlight w:val="auto"/>
        </w:rPr>
        <w:t>在</w:t>
      </w:r>
      <w:r>
        <w:rPr>
          <w:rFonts w:ascii="方正仿宋_GBK" w:eastAsia="方正仿宋_GBK" w:cs="方正仿宋_GBK" w:hint="eastAsia"/>
          <w:bCs/>
          <w:sz w:val="32"/>
          <w:szCs w:val="32"/>
          <w:highlight w:val="auto"/>
        </w:rPr>
        <w:t>“</w:t>
      </w:r>
      <w:r>
        <w:rPr>
          <w:rFonts w:ascii="方正仿宋_GBK" w:eastAsia="方正仿宋_GBK" w:cs="方正仿宋_GBK" w:hint="eastAsia"/>
          <w:bCs/>
          <w:sz w:val="32"/>
          <w:szCs w:val="32"/>
        </w:rPr>
        <w:t>海关政务服务</w:t>
      </w:r>
      <w:r>
        <w:rPr>
          <w:rFonts w:ascii="方正仿宋_GBK" w:eastAsia="方正仿宋_GBK" w:cs="方正仿宋_GBK" w:hint="eastAsia"/>
          <w:bCs/>
          <w:sz w:val="32"/>
          <w:szCs w:val="32"/>
          <w:highlight w:val="auto"/>
        </w:rPr>
        <w:t>”</w:t>
      </w:r>
      <w:r>
        <w:rPr>
          <w:rFonts w:eastAsia="方正仿宋_GBK"/>
          <w:bCs/>
          <w:sz w:val="32"/>
          <w:szCs w:val="32"/>
          <w:highlight w:val="auto"/>
        </w:rPr>
        <w:t>一体化网上办事</w:t>
      </w:r>
      <w:r>
        <w:rPr>
          <w:rFonts w:eastAsia="方正仿宋_GBK"/>
          <w:sz w:val="32"/>
          <w:szCs w:val="32"/>
          <w:highlight w:val="auto"/>
        </w:rPr>
        <w:t>平台</w:t>
      </w:r>
      <w:r>
        <w:rPr>
          <w:rFonts w:eastAsia="方正仿宋_GBK"/>
          <w:bCs/>
          <w:sz w:val="32"/>
          <w:szCs w:val="32"/>
          <w:lang w:val="en-US" w:eastAsia="zh-CN"/>
          <w:highlight w:val="auto"/>
        </w:rPr>
        <w:t>反馈</w:t>
      </w:r>
      <w:r>
        <w:rPr>
          <w:rFonts w:eastAsia="方正仿宋_GBK"/>
          <w:bCs/>
          <w:sz w:val="32"/>
          <w:szCs w:val="32"/>
          <w:lang w:val="en-US" w:eastAsia="zh-CN"/>
        </w:rPr>
        <w:t>。</w:t>
      </w:r>
    </w:p>
    <w:p>
      <w:pPr>
        <w:spacing w:line="560" w:lineRule="exact"/>
        <w:ind w:firstLineChars="200" w:firstLine="640"/>
        <w:rPr>
          <w:rFonts w:eastAsia="方正仿宋_GBK"/>
          <w:bCs/>
          <w:sz w:val="32"/>
          <w:szCs w:val="32"/>
        </w:rPr>
      </w:pPr>
      <w:r>
        <w:rPr>
          <w:rFonts w:eastAsia="方正黑体_GBK"/>
          <w:bCs/>
          <w:sz w:val="32"/>
          <w:szCs w:val="32"/>
          <w:lang w:val="en-US" w:eastAsia="zh-CN"/>
        </w:rPr>
        <w:t>九</w:t>
      </w:r>
      <w:r>
        <w:rPr>
          <w:rFonts w:eastAsia="方正黑体_GBK"/>
          <w:bCs/>
          <w:sz w:val="32"/>
          <w:szCs w:val="32"/>
        </w:rPr>
        <w:t>、收费标准：</w:t>
      </w:r>
      <w:r>
        <w:rPr>
          <w:rFonts w:eastAsia="方正仿宋_GBK"/>
          <w:bCs/>
          <w:sz w:val="32"/>
          <w:szCs w:val="32"/>
        </w:rPr>
        <w:t>不收费。</w:t>
      </w:r>
    </w:p>
    <w:p>
      <w:pPr>
        <w:spacing w:line="560" w:lineRule="exact"/>
        <w:ind w:firstLineChars="200" w:firstLine="640"/>
        <w:rPr>
          <w:rFonts w:eastAsia="方正仿宋_GBK"/>
          <w:bCs/>
          <w:sz w:val="32"/>
          <w:szCs w:val="32"/>
        </w:rPr>
      </w:pPr>
      <w:r>
        <w:rPr>
          <w:rFonts w:eastAsia="方正黑体_GBK"/>
          <w:bCs/>
          <w:sz w:val="32"/>
          <w:szCs w:val="32"/>
          <w:lang w:val="en-US" w:eastAsia="zh-CN"/>
        </w:rPr>
        <w:t>十</w:t>
      </w:r>
      <w:r>
        <w:rPr>
          <w:rFonts w:eastAsia="方正黑体_GBK"/>
          <w:bCs/>
          <w:sz w:val="32"/>
          <w:szCs w:val="32"/>
        </w:rPr>
        <w:t>、收费依据：</w:t>
      </w:r>
      <w:r>
        <w:rPr>
          <w:rFonts w:eastAsia="方正仿宋_GBK"/>
          <w:bCs/>
          <w:sz w:val="32"/>
          <w:szCs w:val="32"/>
        </w:rPr>
        <w:t>无。</w:t>
      </w:r>
    </w:p>
    <w:p>
      <w:pPr>
        <w:spacing w:line="560" w:lineRule="exact"/>
        <w:ind w:firstLineChars="200" w:firstLine="640"/>
        <w:rPr>
          <w:rFonts w:eastAsia="仿宋_GB2312"/>
          <w:sz w:val="32"/>
          <w:szCs w:val="32"/>
          <w:bdr w:val="none" w:sz="0" w:space="0" w:color="auto"/>
          <w:shd w:val="clear" w:color="auto" w:fill="auto"/>
        </w:rPr>
      </w:pPr>
      <w:r>
        <w:rPr>
          <w:rFonts w:eastAsia="方正黑体_GBK"/>
          <w:bCs/>
          <w:sz w:val="32"/>
          <w:szCs w:val="32"/>
        </w:rPr>
        <w:t>十一、申请条件：</w:t>
      </w:r>
    </w:p>
    <w:p>
      <w:pPr>
        <w:spacing w:line="560" w:lineRule="exact"/>
        <w:ind w:firstLineChars="200" w:firstLine="640"/>
        <w:rPr>
          <w:rFonts w:eastAsia="仿宋_GB2312"/>
          <w:sz w:val="32"/>
          <w:szCs w:val="32"/>
          <w:bdr w:val="none" w:sz="0" w:space="0" w:color="auto"/>
          <w:shd w:val="clear" w:color="auto" w:fill="auto"/>
        </w:rPr>
      </w:pPr>
      <w:r>
        <w:rPr>
          <w:rFonts w:eastAsia="仿宋_GB2312"/>
          <w:sz w:val="32"/>
          <w:szCs w:val="32"/>
          <w:bdr w:val="none" w:sz="0" w:space="0" w:color="auto"/>
          <w:shd w:val="clear" w:color="auto" w:fill="auto"/>
        </w:rPr>
        <w:t>I级风险进境非食用动物产品生产、加工、存放指定企业申请条件：</w:t>
      </w:r>
    </w:p>
    <w:p>
      <w:pPr>
        <w:snapToGrid w:val="0"/>
        <w:spacing w:line="560" w:lineRule="exact"/>
        <w:rPr>
          <w:rFonts w:eastAsia="方正黑体_GBK"/>
          <w:b/>
          <w:sz w:val="32"/>
          <w:szCs w:val="32"/>
        </w:rPr>
      </w:pPr>
      <w:r>
        <w:rPr>
          <w:rFonts w:eastAsia="方正黑体_GBK"/>
          <w:b/>
          <w:sz w:val="32"/>
          <w:szCs w:val="32"/>
        </w:rPr>
        <w:t xml:space="preserve">   </w:t>
      </w:r>
      <w:r>
        <w:rPr>
          <w:rFonts w:eastAsia="仿宋_GB2312"/>
          <w:sz w:val="32"/>
          <w:szCs w:val="32"/>
          <w:bdr w:val="none" w:sz="0" w:space="0" w:color="auto"/>
          <w:shd w:val="clear" w:color="auto" w:fill="auto"/>
        </w:rPr>
        <w:t xml:space="preserve"> </w:t>
      </w:r>
      <w:r>
        <w:rPr>
          <w:rFonts w:eastAsia="仿宋_GB2312"/>
          <w:b/>
          <w:bCs/>
          <w:sz w:val="32"/>
          <w:szCs w:val="32"/>
          <w:bdr w:val="none" w:sz="0" w:space="0" w:color="auto"/>
          <w:shd w:val="clear" w:color="auto" w:fill="auto"/>
        </w:rPr>
        <w:t>1.选址及环境要求</w:t>
      </w:r>
    </w:p>
    <w:p>
      <w:pPr>
        <w:snapToGrid w:val="0"/>
        <w:spacing w:line="560" w:lineRule="exact"/>
        <w:ind w:firstLineChars="200" w:firstLine="640"/>
        <w:rPr>
          <w:rFonts w:eastAsia="方正仿宋_GBK"/>
          <w:snapToGrid w:val="0"/>
          <w:kern w:val="0"/>
          <w:sz w:val="28"/>
          <w:szCs w:val="28"/>
        </w:rPr>
      </w:pPr>
      <w:r>
        <w:rPr>
          <w:rFonts w:eastAsia="方正仿宋_GBK"/>
          <w:sz w:val="32"/>
          <w:szCs w:val="32"/>
        </w:rPr>
        <w:t>1.1企业生产、加工设施的选址、布局符合动物卫生防疫要求。《进境非食用动物产品风险级别及检验检疫监管方式》中I级检疫风险的进境非食用动物产品生产、加工、存放企业还应满足：企业选址应远离动物饲养场、兽医站、屠宰厂和水源等，以厂区或库区为中心半径1公里范围内没有饲养家畜、家禽。</w:t>
      </w:r>
    </w:p>
    <w:p>
      <w:pPr>
        <w:adjustRightInd w:val="0"/>
        <w:spacing w:line="560" w:lineRule="exact"/>
        <w:ind w:firstLine="601"/>
        <w:rPr>
          <w:rFonts w:eastAsia="方正仿宋_GBK"/>
          <w:snapToGrid w:val="0"/>
          <w:kern w:val="0"/>
          <w:sz w:val="28"/>
          <w:szCs w:val="28"/>
        </w:rPr>
      </w:pPr>
      <w:r>
        <w:rPr>
          <w:rFonts w:eastAsia="方正仿宋_GBK"/>
          <w:sz w:val="32"/>
          <w:szCs w:val="32"/>
        </w:rPr>
        <w:t>1.2企业应有围墙，厂区布局合理，加工存放区和生活区须分开。加工存放区按产品进厂、原料存放、深加工等工艺流程单向布局，物流方向应遵循从污染区到非污染区的原则。</w:t>
      </w:r>
    </w:p>
    <w:p>
      <w:pPr>
        <w:adjustRightInd w:val="0"/>
        <w:spacing w:line="560" w:lineRule="exact"/>
        <w:ind w:firstLineChars="200" w:firstLine="640"/>
        <w:rPr>
          <w:rFonts w:eastAsia="方正仿宋_GBK"/>
          <w:sz w:val="32"/>
          <w:szCs w:val="32"/>
        </w:rPr>
      </w:pPr>
      <w:r>
        <w:rPr>
          <w:rFonts w:eastAsia="方正仿宋_GBK"/>
          <w:sz w:val="32"/>
          <w:szCs w:val="32"/>
        </w:rPr>
        <w:t>1.3厂区环境应保持干净、整洁，物品堆放整齐，有专门垃圾存放场所和杂物堆放区。</w:t>
      </w:r>
    </w:p>
    <w:p>
      <w:pPr>
        <w:adjustRightInd w:val="0"/>
        <w:spacing w:line="560" w:lineRule="exact"/>
        <w:ind w:firstLineChars="200" w:firstLine="640"/>
        <w:rPr>
          <w:rFonts w:eastAsia="方正仿宋_GBK"/>
          <w:sz w:val="32"/>
          <w:szCs w:val="32"/>
        </w:rPr>
      </w:pPr>
      <w:r>
        <w:rPr>
          <w:rFonts w:eastAsia="方正仿宋_GBK"/>
          <w:sz w:val="32"/>
          <w:szCs w:val="32"/>
        </w:rPr>
        <w:t>1.4厂区路面应硬化，加工车间、库房等墙面、地面应不渗水、不积水，易于清洗消毒。</w:t>
      </w:r>
    </w:p>
    <w:p>
      <w:pPr>
        <w:snapToGrid w:val="0"/>
        <w:spacing w:line="560" w:lineRule="exact"/>
        <w:rPr>
          <w:rFonts w:eastAsia="方正黑体_GBK"/>
          <w:b/>
          <w:sz w:val="32"/>
          <w:szCs w:val="32"/>
        </w:rPr>
      </w:pPr>
      <w:r>
        <w:rPr>
          <w:rFonts w:eastAsia="方正黑体_GBK"/>
          <w:b/>
          <w:sz w:val="32"/>
          <w:szCs w:val="32"/>
        </w:rPr>
        <w:t xml:space="preserve">   </w:t>
      </w:r>
      <w:r>
        <w:rPr>
          <w:rFonts w:eastAsia="仿宋_GB2312"/>
          <w:sz w:val="32"/>
          <w:szCs w:val="32"/>
          <w:bdr w:val="none" w:sz="0" w:space="0" w:color="auto"/>
          <w:shd w:val="clear" w:color="auto" w:fill="auto"/>
        </w:rPr>
        <w:t xml:space="preserve"> </w:t>
      </w:r>
      <w:r>
        <w:rPr>
          <w:rFonts w:eastAsia="仿宋_GB2312"/>
          <w:b/>
          <w:bCs/>
          <w:sz w:val="32"/>
          <w:szCs w:val="32"/>
          <w:bdr w:val="none" w:sz="0" w:space="0" w:color="auto"/>
          <w:shd w:val="clear" w:color="auto" w:fill="auto"/>
        </w:rPr>
        <w:t>2.防疫消毒设施及设备要求</w:t>
      </w:r>
    </w:p>
    <w:p>
      <w:pPr>
        <w:adjustRightInd w:val="0"/>
        <w:spacing w:line="560" w:lineRule="exact"/>
        <w:ind w:firstLineChars="200" w:firstLine="640"/>
        <w:rPr>
          <w:rFonts w:eastAsia="方正仿宋_GBK"/>
          <w:sz w:val="32"/>
          <w:szCs w:val="32"/>
        </w:rPr>
      </w:pPr>
      <w:r>
        <w:rPr>
          <w:rFonts w:eastAsia="方正仿宋_GBK"/>
          <w:sz w:val="32"/>
          <w:szCs w:val="32"/>
        </w:rPr>
        <w:t>2.1《进境非食用动物产品风险级别及检验检疫监管方式》中I级检疫风险的进境非食用动物产品生产、加工、存放企业：加工存放区入口处，人员与车辆通道应分设；车辆进出通道须设置与门等宽、长度不少于4米、深度不低于0.2米的消毒池，或其他等效设施；人员进出通道应设置与门等宽，长度不少于2米的消毒池（垫）。工作人员和车辆凭证经此进出，无关人员和车辆不得随意进出。</w:t>
      </w:r>
    </w:p>
    <w:p>
      <w:pPr>
        <w:adjustRightInd w:val="0"/>
        <w:spacing w:line="560" w:lineRule="exact"/>
        <w:ind w:firstLineChars="168" w:firstLine="538"/>
        <w:rPr>
          <w:rFonts w:eastAsia="方正仿宋_GBK"/>
          <w:sz w:val="32"/>
          <w:szCs w:val="32"/>
        </w:rPr>
      </w:pPr>
      <w:r>
        <w:rPr>
          <w:rFonts w:eastAsia="方正仿宋_GBK"/>
          <w:sz w:val="32"/>
          <w:szCs w:val="32"/>
        </w:rPr>
        <w:t>2.2原料库的出入口和加工车间的入口处应设有与门等宽，长度不少于2米的消毒池（垫）。</w:t>
      </w:r>
    </w:p>
    <w:p>
      <w:pPr>
        <w:adjustRightInd w:val="0"/>
        <w:spacing w:line="560" w:lineRule="exact"/>
        <w:ind w:firstLineChars="168" w:firstLine="538"/>
        <w:rPr>
          <w:rFonts w:eastAsia="方正仿宋_GBK"/>
          <w:snapToGrid w:val="0"/>
          <w:kern w:val="0"/>
          <w:sz w:val="28"/>
          <w:szCs w:val="28"/>
        </w:rPr>
      </w:pPr>
      <w:r>
        <w:rPr>
          <w:rFonts w:eastAsia="方正仿宋_GBK"/>
          <w:sz w:val="32"/>
          <w:szCs w:val="32"/>
        </w:rPr>
        <w:t>2.3原料库应设更衣室，配有与防疫消毒员数量相适应的更衣柜、消毒杀菌装置、洗手消毒设施、带锁的防疫消毒药品和器械存放柜。日常衣物和工作服应分柜放置。</w:t>
      </w:r>
    </w:p>
    <w:p>
      <w:pPr>
        <w:adjustRightInd w:val="0"/>
        <w:spacing w:line="560" w:lineRule="exact"/>
        <w:ind w:firstLineChars="200" w:firstLine="640"/>
        <w:rPr>
          <w:rFonts w:eastAsia="方正仿宋_GBK"/>
          <w:sz w:val="32"/>
          <w:szCs w:val="32"/>
        </w:rPr>
      </w:pPr>
      <w:r>
        <w:rPr>
          <w:rFonts w:eastAsia="方正仿宋_GBK"/>
          <w:sz w:val="32"/>
          <w:szCs w:val="32"/>
        </w:rPr>
        <w:t>2.4加工存放区应设更衣室、盥洗室和浴室。更衣室应配有消毒杀菌装置，与工作人员数量相适应的更衣柜，日常衣物和工作服应分柜放置；盥洗室内应有洗手消毒设施、防护用品、清洗消毒的设备。</w:t>
      </w:r>
    </w:p>
    <w:p>
      <w:pPr>
        <w:adjustRightInd w:val="0"/>
        <w:spacing w:line="560" w:lineRule="exact"/>
        <w:rPr>
          <w:rFonts w:eastAsia="方正仿宋_GBK"/>
          <w:sz w:val="32"/>
          <w:szCs w:val="32"/>
        </w:rPr>
      </w:pPr>
      <w:r>
        <w:rPr>
          <w:rFonts w:eastAsia="方正仿宋_GBK"/>
          <w:sz w:val="32"/>
          <w:szCs w:val="32"/>
        </w:rPr>
        <w:t xml:space="preserve">    2.5接触原料的工作人员应配备工作服、工作鞋、帽、手套、口罩等必要的防护用品，并有相应的清洗消毒设施。</w:t>
      </w:r>
    </w:p>
    <w:p>
      <w:pPr>
        <w:adjustRightInd w:val="0"/>
        <w:spacing w:line="560" w:lineRule="exact"/>
        <w:rPr>
          <w:rFonts w:eastAsia="方正仿宋_GBK"/>
          <w:snapToGrid w:val="0"/>
          <w:kern w:val="0"/>
          <w:sz w:val="28"/>
          <w:szCs w:val="28"/>
        </w:rPr>
      </w:pPr>
      <w:r>
        <w:rPr>
          <w:rFonts w:eastAsia="方正仿宋_GBK"/>
          <w:sz w:val="32"/>
          <w:szCs w:val="32"/>
        </w:rPr>
        <w:t xml:space="preserve">    2.6配备与加工存放动物产品类别、加工存放能力相适应的防疫消毒器械和防疫消毒药品，并存放在专人保管的专用存放场所。</w:t>
      </w:r>
    </w:p>
    <w:p>
      <w:pPr>
        <w:adjustRightInd w:val="0"/>
        <w:spacing w:line="560" w:lineRule="exact"/>
        <w:rPr>
          <w:rFonts w:eastAsia="方正仿宋_GBK"/>
          <w:sz w:val="32"/>
          <w:szCs w:val="32"/>
        </w:rPr>
      </w:pPr>
      <w:r>
        <w:rPr>
          <w:rFonts w:eastAsia="方正仿宋_GBK"/>
          <w:sz w:val="32"/>
          <w:szCs w:val="32"/>
        </w:rPr>
        <w:t xml:space="preserve">    2.7配备必要的突发疫情应急处置设施和物资。</w:t>
      </w:r>
    </w:p>
    <w:p>
      <w:pPr>
        <w:adjustRightInd w:val="0"/>
        <w:spacing w:line="560" w:lineRule="exact"/>
        <w:ind w:firstLineChars="168" w:firstLine="538"/>
        <w:rPr>
          <w:rFonts w:eastAsia="方正仿宋_GBK"/>
          <w:snapToGrid w:val="0"/>
          <w:kern w:val="0"/>
          <w:sz w:val="28"/>
          <w:szCs w:val="28"/>
        </w:rPr>
      </w:pPr>
      <w:r>
        <w:rPr>
          <w:rFonts w:eastAsia="方正仿宋_GBK"/>
          <w:sz w:val="32"/>
          <w:szCs w:val="32"/>
        </w:rPr>
        <w:t>2.8须有对进境非食用动物产品包装物或铺垫材料、加工过程中产生的下脚料与废弃物等进行无害化处理的设施。</w:t>
      </w:r>
    </w:p>
    <w:p>
      <w:pPr>
        <w:adjustRightInd w:val="0"/>
        <w:spacing w:line="560" w:lineRule="exact"/>
        <w:ind w:firstLineChars="168" w:firstLine="538"/>
        <w:rPr>
          <w:rFonts w:eastAsia="方正仿宋_GBK"/>
          <w:sz w:val="32"/>
          <w:szCs w:val="32"/>
        </w:rPr>
      </w:pPr>
      <w:r>
        <w:rPr>
          <w:rFonts w:eastAsia="方正仿宋_GBK"/>
          <w:sz w:val="32"/>
          <w:szCs w:val="32"/>
        </w:rPr>
        <w:t>2.9存放仓库及加工车间有防火、防盗、防鸟、防虫、灭鼠设施。</w:t>
      </w:r>
    </w:p>
    <w:p>
      <w:pPr>
        <w:adjustRightInd w:val="0"/>
        <w:spacing w:line="560" w:lineRule="exact"/>
        <w:ind w:firstLineChars="168" w:firstLine="538"/>
        <w:rPr>
          <w:rFonts w:eastAsia="方正仿宋_GBK"/>
          <w:sz w:val="32"/>
          <w:szCs w:val="32"/>
        </w:rPr>
      </w:pPr>
      <w:r>
        <w:rPr>
          <w:rFonts w:eastAsia="方正仿宋_GBK"/>
          <w:sz w:val="32"/>
          <w:szCs w:val="32"/>
        </w:rPr>
        <w:t>2.10具有与其加工能力相适应的加工设备，有经检验检疫审核符合兽医卫生防疫要求、经过加工能使疫病传播风险降低到可接受水平的加工工艺及设施。</w:t>
      </w:r>
    </w:p>
    <w:p>
      <w:pPr>
        <w:adjustRightInd w:val="0"/>
        <w:spacing w:line="560" w:lineRule="exact"/>
        <w:ind w:firstLineChars="168" w:firstLine="538"/>
        <w:rPr>
          <w:rFonts w:eastAsia="方正仿宋_GBK"/>
          <w:sz w:val="32"/>
          <w:szCs w:val="32"/>
        </w:rPr>
      </w:pPr>
      <w:r>
        <w:rPr>
          <w:rFonts w:eastAsia="方正仿宋_GBK"/>
          <w:sz w:val="32"/>
          <w:szCs w:val="32"/>
        </w:rPr>
        <w:t>2.11具有专用存放库，库容量应与生产加工能力相适应。仓库应有与产品储存要求相适应的温度保持系统，必要时应建有冷库。</w:t>
      </w:r>
    </w:p>
    <w:p>
      <w:pPr>
        <w:adjustRightInd w:val="0"/>
        <w:spacing w:line="560" w:lineRule="exact"/>
        <w:ind w:firstLineChars="200" w:firstLine="640"/>
        <w:rPr>
          <w:rFonts w:eastAsia="方正仿宋_GBK"/>
          <w:sz w:val="32"/>
          <w:szCs w:val="32"/>
        </w:rPr>
      </w:pPr>
      <w:r>
        <w:rPr>
          <w:rFonts w:eastAsia="方正仿宋_GBK"/>
          <w:sz w:val="32"/>
          <w:szCs w:val="32"/>
        </w:rPr>
        <w:t>2.12厂区显著位置设立防疫知识宣传栏。</w:t>
      </w:r>
    </w:p>
    <w:p>
      <w:pPr>
        <w:snapToGrid w:val="0"/>
        <w:spacing w:line="560" w:lineRule="exact"/>
        <w:rPr>
          <w:rFonts w:eastAsia="方正黑体_GBK"/>
          <w:b/>
          <w:sz w:val="32"/>
          <w:szCs w:val="32"/>
        </w:rPr>
      </w:pPr>
      <w:r>
        <w:rPr>
          <w:rFonts w:eastAsia="方正黑体_GBK"/>
          <w:b/>
          <w:sz w:val="32"/>
          <w:szCs w:val="32"/>
        </w:rPr>
        <w:t xml:space="preserve">  </w:t>
      </w:r>
      <w:r>
        <w:rPr>
          <w:rFonts w:eastAsia="方正仿宋_GBK"/>
          <w:sz w:val="32"/>
          <w:szCs w:val="32"/>
        </w:rPr>
        <w:t xml:space="preserve">  </w:t>
      </w:r>
      <w:r>
        <w:rPr>
          <w:rFonts w:eastAsia="方正仿宋_GBK"/>
          <w:b/>
          <w:bCs/>
          <w:sz w:val="32"/>
          <w:szCs w:val="32"/>
        </w:rPr>
        <w:t>3.规章制度及措施</w:t>
      </w:r>
    </w:p>
    <w:p>
      <w:pPr>
        <w:adjustRightInd w:val="0"/>
        <w:spacing w:line="560" w:lineRule="exact"/>
        <w:ind w:firstLineChars="200" w:firstLine="640"/>
        <w:rPr>
          <w:rFonts w:eastAsia="方正仿宋_GBK"/>
          <w:sz w:val="32"/>
          <w:szCs w:val="32"/>
        </w:rPr>
      </w:pPr>
      <w:r>
        <w:rPr>
          <w:rFonts w:eastAsia="方正仿宋_GBK"/>
          <w:sz w:val="32"/>
          <w:szCs w:val="32"/>
        </w:rPr>
        <w:t>3.1成立以单位主要负责人任组长的兽医卫生防疫领导小组，明确职责，制定相关管理制度。</w:t>
      </w:r>
    </w:p>
    <w:p>
      <w:pPr>
        <w:adjustRightInd w:val="0"/>
        <w:spacing w:line="560" w:lineRule="exact"/>
        <w:ind w:firstLineChars="200" w:firstLine="640"/>
        <w:rPr>
          <w:rFonts w:eastAsia="方正仿宋_GBK"/>
          <w:sz w:val="32"/>
          <w:szCs w:val="32"/>
        </w:rPr>
      </w:pPr>
      <w:r>
        <w:rPr>
          <w:rFonts w:eastAsia="方正仿宋_GBK"/>
          <w:sz w:val="32"/>
          <w:szCs w:val="32"/>
        </w:rPr>
        <w:t>3.2建立防疫处理制度，包括对进境皮毛包装物、铺垫材料和加工过程中产生的下脚料、废弃物等进行防疫处理所用药物名称及浓度、负责及操作岗位或人员、处理操作程序等。</w:t>
      </w:r>
    </w:p>
    <w:p>
      <w:pPr>
        <w:adjustRightInd w:val="0"/>
        <w:spacing w:line="560" w:lineRule="exact"/>
        <w:ind w:firstLineChars="200" w:firstLine="640"/>
        <w:rPr>
          <w:rFonts w:eastAsia="方正仿宋_GBK"/>
          <w:sz w:val="32"/>
          <w:szCs w:val="32"/>
        </w:rPr>
      </w:pPr>
      <w:r>
        <w:rPr>
          <w:rFonts w:eastAsia="方正仿宋_GBK"/>
          <w:sz w:val="32"/>
          <w:szCs w:val="32"/>
        </w:rPr>
        <w:t>3.3建立进出境非食用动物产品出入库登记及加工登记制度。</w:t>
      </w:r>
    </w:p>
    <w:p>
      <w:pPr>
        <w:adjustRightInd w:val="0"/>
        <w:spacing w:line="560" w:lineRule="exact"/>
        <w:ind w:firstLineChars="200" w:firstLine="640"/>
        <w:rPr>
          <w:rFonts w:eastAsia="方正仿宋_GBK"/>
          <w:sz w:val="32"/>
          <w:szCs w:val="32"/>
        </w:rPr>
      </w:pPr>
      <w:r>
        <w:rPr>
          <w:rFonts w:eastAsia="方正仿宋_GBK"/>
          <w:sz w:val="32"/>
          <w:szCs w:val="32"/>
        </w:rPr>
        <w:t>3.4建立检疫处理药物管理制度，包括采购、存放保管、使用、回收等。</w:t>
      </w:r>
    </w:p>
    <w:p>
      <w:pPr>
        <w:adjustRightInd w:val="0"/>
        <w:spacing w:line="560" w:lineRule="exact"/>
        <w:ind w:firstLineChars="200" w:firstLine="640"/>
        <w:rPr>
          <w:rFonts w:eastAsia="方正仿宋_GBK"/>
          <w:sz w:val="32"/>
          <w:szCs w:val="32"/>
        </w:rPr>
      </w:pPr>
      <w:r>
        <w:rPr>
          <w:rFonts w:eastAsia="方正仿宋_GBK"/>
          <w:sz w:val="32"/>
          <w:szCs w:val="32"/>
        </w:rPr>
        <w:t>3.5建立人员管理制度，包括出入人员登记、人员防护、员工培训及体检等。</w:t>
      </w:r>
    </w:p>
    <w:p>
      <w:pPr>
        <w:adjustRightInd w:val="0"/>
        <w:spacing w:line="560" w:lineRule="exact"/>
        <w:ind w:firstLineChars="200" w:firstLine="640"/>
        <w:rPr>
          <w:rFonts w:eastAsia="方正仿宋_GBK"/>
          <w:sz w:val="32"/>
          <w:szCs w:val="32"/>
        </w:rPr>
      </w:pPr>
      <w:r>
        <w:rPr>
          <w:rFonts w:eastAsia="方正仿宋_GBK"/>
          <w:sz w:val="32"/>
          <w:szCs w:val="32"/>
        </w:rPr>
        <w:t>3.6制定详细的疫情应急处置预案。</w:t>
      </w:r>
    </w:p>
    <w:p>
      <w:pPr>
        <w:adjustRightInd w:val="0"/>
        <w:spacing w:line="560" w:lineRule="exact"/>
        <w:ind w:firstLineChars="200" w:firstLine="640"/>
        <w:rPr>
          <w:rFonts w:eastAsia="方正仿宋_GBK"/>
          <w:sz w:val="32"/>
          <w:szCs w:val="32"/>
        </w:rPr>
      </w:pPr>
      <w:r>
        <w:rPr>
          <w:rFonts w:eastAsia="方正仿宋_GBK"/>
          <w:sz w:val="32"/>
          <w:szCs w:val="32"/>
        </w:rPr>
        <w:t>3.7有防火、防盗、防鸟、防虫、灭鼠等安全保障制度。</w:t>
      </w:r>
    </w:p>
    <w:p>
      <w:pPr>
        <w:snapToGrid w:val="0"/>
        <w:spacing w:line="560" w:lineRule="exact"/>
        <w:rPr>
          <w:rFonts w:eastAsia="方正黑体_GBK"/>
          <w:b/>
          <w:sz w:val="32"/>
          <w:szCs w:val="32"/>
        </w:rPr>
      </w:pPr>
      <w:r>
        <w:rPr>
          <w:rFonts w:eastAsia="方正仿宋_GBK"/>
          <w:sz w:val="32"/>
          <w:szCs w:val="32"/>
        </w:rPr>
        <w:t xml:space="preserve">   </w:t>
      </w:r>
      <w:r>
        <w:rPr>
          <w:rFonts w:eastAsia="方正仿宋_GBK"/>
          <w:b/>
          <w:bCs/>
          <w:sz w:val="32"/>
          <w:szCs w:val="32"/>
        </w:rPr>
        <w:t xml:space="preserve"> 4.日常管理及相关记录</w:t>
      </w:r>
    </w:p>
    <w:p>
      <w:pPr>
        <w:spacing w:line="560" w:lineRule="exact"/>
        <w:ind w:firstLineChars="200" w:firstLine="640"/>
        <w:rPr>
          <w:rFonts w:eastAsia="方正仿宋_GBK"/>
          <w:sz w:val="32"/>
          <w:szCs w:val="32"/>
        </w:rPr>
      </w:pPr>
      <w:r>
        <w:rPr>
          <w:rFonts w:eastAsia="方正仿宋_GBK"/>
          <w:sz w:val="32"/>
          <w:szCs w:val="32"/>
        </w:rPr>
        <w:t>4.1进境非食用动物产品流向记录，包括出入库记录、加工记录、下脚料流向记录等。</w:t>
      </w:r>
    </w:p>
    <w:p>
      <w:pPr>
        <w:spacing w:line="560" w:lineRule="exact"/>
        <w:ind w:firstLineChars="200" w:firstLine="640"/>
        <w:rPr>
          <w:rFonts w:eastAsia="方正仿宋_GBK"/>
          <w:sz w:val="32"/>
          <w:szCs w:val="32"/>
        </w:rPr>
      </w:pPr>
      <w:r>
        <w:rPr>
          <w:rFonts w:eastAsia="方正仿宋_GBK"/>
          <w:sz w:val="32"/>
          <w:szCs w:val="32"/>
        </w:rPr>
        <w:t>4.2非食用动物产品与车辆防疫处理记录，包括非食用动物产品与车辆入场时防疫处理记录、入库时的防疫处理记录等。</w:t>
      </w:r>
    </w:p>
    <w:p>
      <w:pPr>
        <w:spacing w:line="560" w:lineRule="exact"/>
        <w:ind w:firstLineChars="200" w:firstLine="640"/>
        <w:rPr>
          <w:rFonts w:eastAsia="方正仿宋_GBK"/>
          <w:sz w:val="32"/>
          <w:szCs w:val="32"/>
        </w:rPr>
      </w:pPr>
      <w:r>
        <w:rPr>
          <w:rFonts w:eastAsia="方正仿宋_GBK"/>
          <w:sz w:val="32"/>
          <w:szCs w:val="32"/>
        </w:rPr>
        <w:t>4.3非食用动物产品包装物、铺垫材料和加工过程中产生的下脚料、废弃物的防疫处理记录、场地日常防疫处理记录等记录。</w:t>
      </w:r>
    </w:p>
    <w:p>
      <w:pPr>
        <w:spacing w:line="560" w:lineRule="exact"/>
        <w:ind w:firstLineChars="225" w:firstLine="720"/>
        <w:rPr>
          <w:rFonts w:eastAsia="方正仿宋_GBK"/>
          <w:sz w:val="32"/>
          <w:szCs w:val="32"/>
        </w:rPr>
      </w:pPr>
      <w:r>
        <w:rPr>
          <w:rFonts w:eastAsia="方正仿宋_GBK"/>
          <w:sz w:val="32"/>
          <w:szCs w:val="32"/>
        </w:rPr>
        <w:t>4.4药物使用及管理记录，包括采购、存放保管、使用、回收等记录。</w:t>
      </w:r>
    </w:p>
    <w:p>
      <w:pPr>
        <w:spacing w:line="560" w:lineRule="exact"/>
        <w:ind w:firstLineChars="225" w:firstLine="720"/>
        <w:rPr>
          <w:rFonts w:eastAsia="方正仿宋_GBK"/>
          <w:sz w:val="32"/>
          <w:szCs w:val="32"/>
        </w:rPr>
      </w:pPr>
      <w:r>
        <w:rPr>
          <w:rFonts w:eastAsia="方正仿宋_GBK"/>
          <w:sz w:val="32"/>
          <w:szCs w:val="32"/>
        </w:rPr>
        <w:t>4.5员工体检及培训记录</w:t>
      </w:r>
    </w:p>
    <w:p>
      <w:pPr>
        <w:spacing w:line="560" w:lineRule="exact"/>
        <w:ind w:firstLineChars="225" w:firstLine="720"/>
        <w:rPr>
          <w:rFonts w:eastAsia="方正仿宋_GBK"/>
          <w:sz w:val="32"/>
          <w:szCs w:val="32"/>
        </w:rPr>
      </w:pPr>
      <w:r>
        <w:rPr>
          <w:rFonts w:eastAsia="方正仿宋_GBK"/>
          <w:sz w:val="32"/>
          <w:szCs w:val="32"/>
        </w:rPr>
        <w:t>4.6有防火、防盗、防鸟、防虫、灭鼠等措施的落实记录。</w:t>
      </w:r>
    </w:p>
    <w:p>
      <w:pPr>
        <w:spacing w:line="560" w:lineRule="exact"/>
        <w:ind w:firstLineChars="200" w:firstLine="640"/>
        <w:rPr>
          <w:rFonts w:eastAsia="方正仿宋_GBK"/>
          <w:bCs/>
          <w:sz w:val="32"/>
          <w:szCs w:val="32"/>
        </w:rPr>
      </w:pPr>
      <w:r>
        <w:rPr>
          <w:rFonts w:eastAsia="方正黑体_GBK"/>
          <w:bCs/>
          <w:sz w:val="32"/>
          <w:szCs w:val="32"/>
        </w:rPr>
        <w:t>十</w:t>
      </w:r>
      <w:r>
        <w:rPr>
          <w:rFonts w:eastAsia="方正黑体_GBK"/>
          <w:bCs/>
          <w:sz w:val="32"/>
          <w:szCs w:val="32"/>
          <w:lang w:val="en-US" w:eastAsia="zh-CN"/>
        </w:rPr>
        <w:t>二</w:t>
      </w:r>
      <w:r>
        <w:rPr>
          <w:rFonts w:eastAsia="方正黑体_GBK"/>
          <w:bCs/>
          <w:sz w:val="32"/>
          <w:szCs w:val="32"/>
        </w:rPr>
        <w:t>、申请材料：</w:t>
      </w:r>
    </w:p>
    <w:p>
      <w:pPr>
        <w:spacing w:line="560" w:lineRule="exact"/>
        <w:ind w:firstLineChars="200" w:firstLine="640"/>
        <w:rPr>
          <w:rFonts w:eastAsia="方正仿宋_GBK"/>
          <w:bCs/>
          <w:sz w:val="32"/>
          <w:szCs w:val="32"/>
        </w:rPr>
      </w:pPr>
      <w:r>
        <w:rPr>
          <w:rFonts w:eastAsia="方正仿宋_GBK"/>
          <w:bCs/>
          <w:sz w:val="32"/>
          <w:szCs w:val="32"/>
        </w:rPr>
        <w:t>《进境非食用动物产品生产、加工、存放指定企业符合性声明》</w:t>
      </w:r>
      <w:r>
        <w:rPr>
          <w:rFonts w:ascii="Times New Roman" w:eastAsia="仿宋_GB2312" w:cs="Times New Roman" w:hAnsi="Times New Roman"/>
          <w:kern w:val="2"/>
          <w:sz w:val="32"/>
          <w:szCs w:val="32"/>
          <w:bdr w:val="none" w:sz="0" w:space="0" w:color="auto"/>
          <w:shd w:val="clear" w:color="auto" w:fill="auto"/>
          <w:lang w:val="en-US" w:eastAsia="zh-CN" w:bidi="ar-SA"/>
        </w:rPr>
        <w:t>原件1份</w:t>
      </w:r>
      <w:r>
        <w:rPr>
          <w:rFonts w:eastAsia="方正仿宋_GBK"/>
          <w:bCs/>
          <w:sz w:val="32"/>
          <w:szCs w:val="32"/>
        </w:rPr>
        <w:t>（附件1）。</w:t>
      </w:r>
    </w:p>
    <w:p>
      <w:pPr>
        <w:spacing w:line="560" w:lineRule="exact"/>
        <w:ind w:firstLineChars="200" w:firstLine="640"/>
        <w:rPr>
          <w:rFonts w:eastAsia="方正黑体_GBK"/>
          <w:bCs/>
          <w:sz w:val="32"/>
          <w:szCs w:val="32"/>
        </w:rPr>
      </w:pPr>
      <w:r>
        <w:rPr>
          <w:rFonts w:eastAsia="方正黑体_GBK"/>
          <w:bCs/>
          <w:sz w:val="32"/>
          <w:szCs w:val="32"/>
        </w:rPr>
        <w:t>十</w:t>
      </w:r>
      <w:r>
        <w:rPr>
          <w:rFonts w:eastAsia="方正黑体_GBK"/>
          <w:bCs/>
          <w:sz w:val="32"/>
          <w:szCs w:val="32"/>
          <w:lang w:val="en-US" w:eastAsia="zh-CN"/>
        </w:rPr>
        <w:t>三</w:t>
      </w:r>
      <w:r>
        <w:rPr>
          <w:rFonts w:eastAsia="方正黑体_GBK"/>
          <w:bCs/>
          <w:sz w:val="32"/>
          <w:szCs w:val="32"/>
        </w:rPr>
        <w:t>、办理流程：</w:t>
      </w:r>
    </w:p>
    <w:p>
      <w:pPr>
        <w:spacing w:line="560" w:lineRule="exact"/>
        <w:ind w:firstLineChars="200" w:firstLine="640"/>
        <w:rPr>
          <w:rFonts w:eastAsia="方正仿宋_GBK"/>
          <w:bCs/>
          <w:sz w:val="32"/>
          <w:szCs w:val="32"/>
        </w:rPr>
      </w:pPr>
      <w:r>
        <w:rPr>
          <w:rFonts w:eastAsia="方正仿宋_GBK"/>
          <w:bCs/>
          <w:sz w:val="32"/>
          <w:szCs w:val="32"/>
        </w:rPr>
        <w:t>（一）企业登录</w:t>
      </w:r>
      <w:r>
        <w:rPr>
          <w:rFonts w:ascii="方正仿宋_GBK" w:eastAsia="方正仿宋_GBK" w:cs="方正仿宋_GBK" w:hint="eastAsia"/>
          <w:bCs/>
          <w:sz w:val="32"/>
          <w:szCs w:val="32"/>
        </w:rPr>
        <w:t>“海关政务服务”</w:t>
      </w:r>
      <w:r>
        <w:rPr>
          <w:rFonts w:eastAsia="方正仿宋_GBK"/>
          <w:bCs/>
          <w:sz w:val="32"/>
          <w:szCs w:val="32"/>
        </w:rPr>
        <w:t>一体化网上办事</w:t>
      </w:r>
      <w:r>
        <w:rPr>
          <w:rFonts w:eastAsia="方正仿宋_GBK"/>
          <w:sz w:val="32"/>
          <w:szCs w:val="32"/>
        </w:rPr>
        <w:t>平台（平台地址：http://online.customs.gov.cn）向</w:t>
      </w:r>
      <w:r>
        <w:rPr>
          <w:rFonts w:eastAsia="方正仿宋_GBK"/>
          <w:bCs/>
          <w:sz w:val="32"/>
          <w:szCs w:val="32"/>
        </w:rPr>
        <w:t>所在地海关申请，提交电子版申请材料；</w:t>
      </w:r>
    </w:p>
    <w:p>
      <w:pPr>
        <w:spacing w:line="560" w:lineRule="exact"/>
        <w:ind w:firstLineChars="200" w:firstLine="640"/>
        <w:rPr>
          <w:rFonts w:eastAsia="方正仿宋_GBK"/>
          <w:bCs/>
          <w:sz w:val="32"/>
          <w:szCs w:val="32"/>
        </w:rPr>
      </w:pPr>
      <w:r>
        <w:rPr>
          <w:rFonts w:eastAsia="方正仿宋_GBK"/>
          <w:bCs/>
          <w:sz w:val="32"/>
          <w:szCs w:val="32"/>
        </w:rPr>
        <w:t>（二）海关收到申请后对申请材料进行审查，材料符合或经补正合格的予以受理；</w:t>
      </w:r>
    </w:p>
    <w:p>
      <w:pPr>
        <w:spacing w:line="560" w:lineRule="exact"/>
        <w:ind w:firstLineChars="200" w:firstLine="640"/>
        <w:rPr>
          <w:rFonts w:eastAsia="方正仿宋_GBK"/>
          <w:bCs/>
          <w:sz w:val="32"/>
          <w:szCs w:val="32"/>
        </w:rPr>
      </w:pPr>
      <w:r>
        <w:rPr>
          <w:rFonts w:eastAsia="方正仿宋_GBK"/>
          <w:bCs/>
          <w:sz w:val="32"/>
          <w:szCs w:val="32"/>
        </w:rPr>
        <w:t>（三）</w:t>
      </w:r>
      <w:r>
        <w:rPr>
          <w:rFonts w:eastAsia="方正仿宋_GBK"/>
          <w:bCs/>
          <w:sz w:val="32"/>
          <w:szCs w:val="32"/>
          <w:lang w:val="en-US" w:eastAsia="zh-CN"/>
        </w:rPr>
        <w:t>系统反馈办理结果</w:t>
      </w:r>
      <w:r>
        <w:rPr>
          <w:rFonts w:eastAsia="方正仿宋_GBK"/>
          <w:bCs/>
          <w:sz w:val="32"/>
          <w:szCs w:val="32"/>
        </w:rPr>
        <w:t>。</w:t>
      </w:r>
    </w:p>
    <w:p>
      <w:pPr>
        <w:widowControl/>
        <w:autoSpaceDN w:val="0"/>
        <w:spacing w:line="560" w:lineRule="exact"/>
        <w:ind w:firstLine="640"/>
        <w:rPr>
          <w:rFonts w:eastAsia="方正仿宋_GBK"/>
          <w:color w:val="000000"/>
          <w:sz w:val="32"/>
          <w:szCs w:val="32"/>
        </w:rPr>
      </w:pPr>
      <w:r>
        <w:rPr>
          <w:rFonts w:eastAsia="方正仿宋_GBK"/>
          <w:color w:val="000000"/>
          <w:sz w:val="32"/>
          <w:szCs w:val="32"/>
        </w:rPr>
        <w:t>具体详见流程图</w:t>
      </w:r>
      <w:r>
        <w:rPr>
          <w:rFonts w:eastAsia="方正仿宋_GBK"/>
          <w:bCs/>
          <w:sz w:val="32"/>
          <w:szCs w:val="32"/>
        </w:rPr>
        <w:t>（附件2）。</w:t>
      </w:r>
    </w:p>
    <w:p>
      <w:pPr>
        <w:pStyle w:val="35"/>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bCs/>
          <w:sz w:val="32"/>
          <w:szCs w:val="32"/>
        </w:rPr>
        <w:t>十</w:t>
      </w:r>
      <w:r>
        <w:rPr>
          <w:rFonts w:ascii="Times New Roman" w:eastAsia="方正黑体_GBK" w:cs="Times New Roman" w:hAnsi="Times New Roman"/>
          <w:bCs/>
          <w:sz w:val="32"/>
          <w:szCs w:val="32"/>
          <w:lang w:val="en-US" w:eastAsia="zh-CN"/>
        </w:rPr>
        <w:t>四</w:t>
      </w:r>
      <w:r>
        <w:rPr>
          <w:rFonts w:ascii="Times New Roman" w:eastAsia="方正黑体_GBK" w:cs="Times New Roman" w:hAnsi="Times New Roman"/>
          <w:bCs/>
          <w:sz w:val="32"/>
          <w:szCs w:val="32"/>
        </w:rPr>
        <w:t>、办理形式：</w:t>
      </w:r>
      <w:r>
        <w:rPr>
          <w:rFonts w:ascii="Times New Roman" w:eastAsia="方正仿宋_GBK" w:cs="Times New Roman" w:hAnsi="Times New Roman"/>
          <w:sz w:val="32"/>
          <w:szCs w:val="32"/>
        </w:rPr>
        <w:t>窗口办理、网上办理。</w:t>
      </w:r>
    </w:p>
    <w:p>
      <w:pPr>
        <w:autoSpaceDN w:val="0"/>
        <w:adjustRightInd w:val="0"/>
        <w:snapToGrid w:val="0"/>
        <w:spacing w:line="560" w:lineRule="exact"/>
        <w:ind w:leftChars="304" w:left="638"/>
        <w:rPr>
          <w:rFonts w:eastAsia="方正仿宋_GBK"/>
          <w:sz w:val="32"/>
          <w:szCs w:val="32"/>
        </w:rPr>
      </w:pPr>
      <w:r>
        <w:rPr>
          <w:rFonts w:eastAsia="方正黑体_GBK"/>
          <w:bCs/>
          <w:sz w:val="32"/>
          <w:szCs w:val="32"/>
        </w:rPr>
        <w:t>十</w:t>
      </w:r>
      <w:r>
        <w:rPr>
          <w:rFonts w:eastAsia="方正黑体_GBK"/>
          <w:bCs/>
          <w:sz w:val="32"/>
          <w:szCs w:val="32"/>
          <w:lang w:val="en-US" w:eastAsia="zh-CN"/>
        </w:rPr>
        <w:t>五</w:t>
      </w:r>
      <w:r>
        <w:rPr>
          <w:rFonts w:eastAsia="方正黑体_GBK"/>
          <w:bCs/>
          <w:sz w:val="32"/>
          <w:szCs w:val="32"/>
        </w:rPr>
        <w:t>、到办理现场次数：</w:t>
      </w:r>
      <w:r>
        <w:rPr>
          <w:rFonts w:eastAsia="方正仿宋_GBK"/>
          <w:sz w:val="32"/>
          <w:szCs w:val="32"/>
        </w:rPr>
        <w:t>窗口办理1次或网上办理0次。</w:t>
      </w:r>
    </w:p>
    <w:p>
      <w:pPr>
        <w:autoSpaceDN w:val="0"/>
        <w:adjustRightInd w:val="0"/>
        <w:snapToGrid w:val="0"/>
        <w:spacing w:line="560" w:lineRule="exact"/>
        <w:ind w:left="0" w:firstLineChars="200" w:firstLine="640"/>
        <w:rPr>
          <w:rFonts w:eastAsia="方正仿宋_GBK"/>
          <w:bCs/>
          <w:sz w:val="32"/>
          <w:szCs w:val="32"/>
        </w:rPr>
      </w:pPr>
      <w:r>
        <w:rPr>
          <w:rFonts w:eastAsia="方正黑体_GBK"/>
          <w:bCs/>
          <w:sz w:val="32"/>
          <w:szCs w:val="32"/>
        </w:rPr>
        <w:t>十</w:t>
      </w:r>
      <w:r>
        <w:rPr>
          <w:rFonts w:eastAsia="方正黑体_GBK"/>
          <w:bCs/>
          <w:sz w:val="32"/>
          <w:szCs w:val="32"/>
          <w:lang w:val="en-US" w:eastAsia="zh-CN"/>
        </w:rPr>
        <w:t>六</w:t>
      </w:r>
      <w:r>
        <w:rPr>
          <w:rFonts w:eastAsia="方正黑体_GBK"/>
          <w:bCs/>
          <w:sz w:val="32"/>
          <w:szCs w:val="32"/>
        </w:rPr>
        <w:t>、审查标准：</w:t>
      </w:r>
      <w:r>
        <w:rPr>
          <w:rFonts w:eastAsia="方正仿宋_GBK"/>
          <w:bCs/>
          <w:sz w:val="32"/>
          <w:szCs w:val="32"/>
        </w:rPr>
        <w:t>申请材料填写准确、完整、真实、有效。</w:t>
      </w:r>
    </w:p>
    <w:p>
      <w:pPr>
        <w:spacing w:line="560" w:lineRule="exact"/>
        <w:ind w:firstLineChars="200" w:firstLine="640"/>
        <w:rPr>
          <w:rFonts w:eastAsia="方正黑体_GBK"/>
          <w:bCs/>
          <w:sz w:val="32"/>
          <w:szCs w:val="32"/>
        </w:rPr>
      </w:pPr>
      <w:r>
        <w:rPr>
          <w:rFonts w:eastAsia="方正黑体_GBK"/>
          <w:bCs/>
          <w:sz w:val="32"/>
          <w:szCs w:val="32"/>
        </w:rPr>
        <w:t>十</w:t>
      </w:r>
      <w:r>
        <w:rPr>
          <w:rFonts w:eastAsia="方正黑体_GBK"/>
          <w:bCs/>
          <w:sz w:val="32"/>
          <w:szCs w:val="32"/>
          <w:lang w:val="en-US" w:eastAsia="zh-CN"/>
        </w:rPr>
        <w:t>七</w:t>
      </w:r>
      <w:r>
        <w:rPr>
          <w:rFonts w:eastAsia="方正黑体_GBK"/>
          <w:bCs/>
          <w:sz w:val="32"/>
          <w:szCs w:val="32"/>
        </w:rPr>
        <w:t>、通办范围：</w:t>
      </w:r>
      <w:r>
        <w:rPr>
          <w:rFonts w:eastAsia="方正仿宋_GBK"/>
          <w:bCs/>
          <w:sz w:val="32"/>
          <w:szCs w:val="32"/>
        </w:rPr>
        <w:t>隶属海关。</w:t>
      </w:r>
    </w:p>
    <w:p>
      <w:pPr>
        <w:spacing w:line="560" w:lineRule="exact"/>
        <w:ind w:firstLineChars="200" w:firstLine="640"/>
        <w:rPr>
          <w:rFonts w:eastAsia="方正仿宋_GBK"/>
          <w:bCs/>
          <w:sz w:val="32"/>
          <w:szCs w:val="32"/>
        </w:rPr>
      </w:pPr>
      <w:r>
        <w:rPr>
          <w:rFonts w:eastAsia="方正黑体_GBK"/>
          <w:bCs/>
          <w:sz w:val="32"/>
          <w:szCs w:val="32"/>
        </w:rPr>
        <w:t>十</w:t>
      </w:r>
      <w:r>
        <w:rPr>
          <w:rFonts w:eastAsia="方正黑体_GBK"/>
          <w:bCs/>
          <w:sz w:val="32"/>
          <w:szCs w:val="32"/>
          <w:lang w:val="en-US" w:eastAsia="zh-CN"/>
        </w:rPr>
        <w:t>八</w:t>
      </w:r>
      <w:r>
        <w:rPr>
          <w:rFonts w:eastAsia="方正黑体_GBK"/>
          <w:bCs/>
          <w:sz w:val="32"/>
          <w:szCs w:val="32"/>
        </w:rPr>
        <w:t>、预约办理：</w:t>
      </w:r>
      <w:r>
        <w:rPr>
          <w:rFonts w:eastAsia="方正仿宋_GBK"/>
          <w:bCs/>
          <w:kern w:val="0"/>
          <w:sz w:val="32"/>
          <w:szCs w:val="32"/>
        </w:rPr>
        <w:t>否</w:t>
      </w:r>
      <w:r>
        <w:rPr>
          <w:rFonts w:eastAsia="方正仿宋_GBK"/>
          <w:bCs/>
          <w:sz w:val="32"/>
          <w:szCs w:val="32"/>
        </w:rPr>
        <w:t>。</w:t>
      </w:r>
    </w:p>
    <w:p>
      <w:pPr>
        <w:spacing w:line="560" w:lineRule="exact"/>
        <w:ind w:firstLineChars="200" w:firstLine="640"/>
        <w:rPr>
          <w:rFonts w:eastAsia="方正仿宋_GBK"/>
          <w:bCs/>
          <w:sz w:val="32"/>
          <w:szCs w:val="32"/>
        </w:rPr>
      </w:pPr>
      <w:r>
        <w:rPr>
          <w:rFonts w:eastAsia="方正黑体_GBK"/>
          <w:bCs/>
          <w:sz w:val="32"/>
          <w:szCs w:val="32"/>
        </w:rPr>
        <w:t>十</w:t>
      </w:r>
      <w:r>
        <w:rPr>
          <w:rFonts w:eastAsia="方正黑体_GBK"/>
          <w:bCs/>
          <w:sz w:val="32"/>
          <w:szCs w:val="32"/>
          <w:lang w:val="en-US" w:eastAsia="zh-CN"/>
        </w:rPr>
        <w:t>九</w:t>
      </w:r>
      <w:r>
        <w:rPr>
          <w:rFonts w:eastAsia="方正黑体_GBK"/>
          <w:bCs/>
          <w:sz w:val="32"/>
          <w:szCs w:val="32"/>
        </w:rPr>
        <w:t>、网上支付：</w:t>
      </w:r>
      <w:r>
        <w:rPr>
          <w:rFonts w:eastAsia="方正仿宋_GBK"/>
          <w:bCs/>
          <w:kern w:val="0"/>
          <w:sz w:val="32"/>
          <w:szCs w:val="32"/>
        </w:rPr>
        <w:t>否</w:t>
      </w:r>
      <w:r>
        <w:rPr>
          <w:rFonts w:eastAsia="方正仿宋_GBK"/>
          <w:bCs/>
          <w:sz w:val="32"/>
          <w:szCs w:val="32"/>
        </w:rPr>
        <w:t>。</w:t>
      </w:r>
    </w:p>
    <w:p>
      <w:pPr>
        <w:spacing w:line="560" w:lineRule="exact"/>
        <w:ind w:firstLineChars="200" w:firstLine="640"/>
        <w:rPr>
          <w:rFonts w:eastAsia="方正仿宋_GBK"/>
          <w:bCs/>
          <w:sz w:val="32"/>
          <w:szCs w:val="32"/>
        </w:rPr>
      </w:pPr>
      <w:r>
        <w:rPr>
          <w:rFonts w:eastAsia="方正黑体_GBK"/>
          <w:bCs/>
          <w:sz w:val="32"/>
          <w:szCs w:val="32"/>
        </w:rPr>
        <w:t>二十、物流快递：</w:t>
      </w:r>
      <w:r>
        <w:rPr>
          <w:rFonts w:eastAsia="方正仿宋_GBK"/>
          <w:bCs/>
          <w:kern w:val="0"/>
          <w:sz w:val="32"/>
          <w:szCs w:val="32"/>
        </w:rPr>
        <w:t>否</w:t>
      </w:r>
      <w:r>
        <w:rPr>
          <w:rFonts w:eastAsia="方正仿宋_GBK"/>
          <w:bCs/>
          <w:sz w:val="32"/>
          <w:szCs w:val="32"/>
        </w:rPr>
        <w:t>。</w:t>
      </w:r>
    </w:p>
    <w:p>
      <w:pPr>
        <w:spacing w:line="560" w:lineRule="exact"/>
        <w:ind w:firstLineChars="200" w:firstLine="640"/>
        <w:rPr>
          <w:rFonts w:eastAsia="方正仿宋_GBK"/>
          <w:bCs/>
          <w:sz w:val="32"/>
          <w:szCs w:val="32"/>
        </w:rPr>
      </w:pPr>
      <w:r>
        <w:rPr>
          <w:rFonts w:eastAsia="方正黑体_GBK"/>
          <w:bCs/>
          <w:sz w:val="32"/>
          <w:szCs w:val="32"/>
        </w:rPr>
        <w:t>二十一、办理地点：</w:t>
      </w:r>
    </w:p>
    <w:p>
      <w:pPr>
        <w:pStyle w:val="37"/>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网上办理：用户登录</w:t>
      </w:r>
      <w:r>
        <w:rPr>
          <w:rFonts w:ascii="Times New Roman" w:eastAsia="方正仿宋_GBK" w:hAnsi="Times New Roman" w:hint="eastAsia"/>
          <w:sz w:val="32"/>
          <w:szCs w:val="32"/>
          <w:lang w:eastAsia="zh-CN"/>
        </w:rPr>
        <w:t>海关政务服务平台</w:t>
      </w:r>
      <w:r>
        <w:rPr>
          <w:rFonts w:ascii="Times New Roman" w:eastAsia="方正仿宋_GBK" w:cs="Times New Roman" w:hAnsi="Times New Roman"/>
          <w:sz w:val="32"/>
          <w:szCs w:val="32"/>
        </w:rPr>
        <w:t>（网址：https://.online.customs.gov.cn），进入</w:t>
      </w:r>
      <w:r>
        <w:rPr>
          <w:rFonts w:ascii="方正仿宋_GBK" w:eastAsia="方正仿宋_GBK" w:cs="方正仿宋_GBK" w:hint="eastAsia"/>
          <w:sz w:val="32"/>
          <w:szCs w:val="32"/>
        </w:rPr>
        <w:t>“动植物检疫”</w:t>
      </w:r>
      <w:r>
        <w:rPr>
          <w:rFonts w:ascii="Times New Roman" w:eastAsia="方正仿宋_GBK" w:cs="Times New Roman" w:hAnsi="Times New Roman"/>
          <w:sz w:val="32"/>
          <w:szCs w:val="32"/>
        </w:rPr>
        <w:t>版块办理，或登录</w:t>
      </w:r>
      <w:r>
        <w:rPr>
          <w:rFonts w:ascii="方正仿宋_GBK" w:eastAsia="方正仿宋_GBK" w:cs="方正仿宋_GBK" w:hint="eastAsia"/>
          <w:sz w:val="32"/>
          <w:szCs w:val="32"/>
        </w:rPr>
        <w:t>“中国国际贸易单一窗口”</w:t>
      </w:r>
      <w:r>
        <w:rPr>
          <w:rFonts w:ascii="Times New Roman" w:eastAsia="方正仿宋_GBK" w:cs="Times New Roman" w:hAnsi="Times New Roman"/>
          <w:sz w:val="32"/>
          <w:szCs w:val="32"/>
        </w:rPr>
        <w:t>（网址：https://www.singlewindow.cn）办理。</w:t>
      </w:r>
    </w:p>
    <w:p>
      <w:pPr>
        <w:pStyle w:val="37"/>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窗口办理：各主管海关业务</w:t>
      </w:r>
      <w:bookmarkStart w:id="0" w:name="_GoBack"/>
      <w:bookmarkEnd w:id="0"/>
      <w:r>
        <w:rPr>
          <w:rFonts w:ascii="Times New Roman" w:eastAsia="方正仿宋_GBK" w:cs="Times New Roman" w:hAnsi="Times New Roman"/>
          <w:sz w:val="32"/>
          <w:szCs w:val="32"/>
        </w:rPr>
        <w:t>现场，具体地址可通过成都海关网站</w:t>
      </w:r>
      <w:r>
        <w:rPr>
          <w:rFonts w:eastAsia="方正仿宋_GBK"/>
          <w:bCs/>
          <w:sz w:val="32"/>
          <w:szCs w:val="32"/>
        </w:rPr>
        <w:t>（</w:t>
      </w:r>
      <w:r>
        <w:rPr>
          <w:rFonts w:ascii="Times New Roman" w:eastAsia="方正仿宋_GBK" w:cs="Times New Roman" w:hAnsi="Times New Roman"/>
          <w:bCs/>
          <w:sz w:val="32"/>
          <w:szCs w:val="32"/>
        </w:rPr>
        <w:t>http://chengdu.customs.gov.cn</w:t>
      </w:r>
      <w:r>
        <w:rPr>
          <w:rFonts w:eastAsia="方正仿宋_GBK"/>
          <w:bCs/>
          <w:sz w:val="32"/>
          <w:szCs w:val="32"/>
        </w:rPr>
        <w:t>）</w:t>
      </w:r>
      <w:r>
        <w:rPr>
          <w:rFonts w:ascii="Times New Roman" w:eastAsia="方正仿宋_GBK" w:cs="Times New Roman" w:hAnsi="Times New Roman"/>
          <w:sz w:val="32"/>
          <w:szCs w:val="32"/>
        </w:rPr>
        <w:t>查询。</w:t>
      </w:r>
    </w:p>
    <w:p>
      <w:pPr>
        <w:pStyle w:val="26"/>
        <w:spacing w:line="560" w:lineRule="exact"/>
        <w:ind w:firstLineChars="200" w:firstLine="640"/>
        <w:rPr>
          <w:rFonts w:eastAsia="方正黑体_GBK"/>
          <w:bCs/>
          <w:sz w:val="32"/>
          <w:szCs w:val="32"/>
        </w:rPr>
      </w:pPr>
      <w:r>
        <w:rPr>
          <w:rFonts w:eastAsia="方正黑体_GBK"/>
          <w:bCs/>
          <w:sz w:val="32"/>
          <w:szCs w:val="32"/>
        </w:rPr>
        <w:t>二十</w:t>
      </w:r>
      <w:r>
        <w:rPr>
          <w:rFonts w:eastAsia="方正黑体_GBK"/>
          <w:bCs/>
          <w:sz w:val="32"/>
          <w:szCs w:val="32"/>
          <w:lang w:val="en-US" w:eastAsia="zh-CN"/>
        </w:rPr>
        <w:t>二</w:t>
      </w:r>
      <w:r>
        <w:rPr>
          <w:rFonts w:eastAsia="方正黑体_GBK"/>
          <w:bCs/>
          <w:sz w:val="32"/>
          <w:szCs w:val="32"/>
        </w:rPr>
        <w:t>、办理时间：</w:t>
      </w:r>
    </w:p>
    <w:p>
      <w:pPr>
        <w:spacing w:line="560" w:lineRule="exact"/>
        <w:ind w:firstLineChars="200" w:firstLine="640"/>
        <w:rPr>
          <w:rFonts w:eastAsia="方正仿宋_GBK"/>
          <w:bCs/>
          <w:kern w:val="0"/>
          <w:sz w:val="32"/>
          <w:szCs w:val="32"/>
        </w:rPr>
      </w:pPr>
      <w:r>
        <w:rPr>
          <w:rFonts w:eastAsia="方正仿宋_GBK"/>
          <w:bCs/>
          <w:kern w:val="0"/>
          <w:sz w:val="32"/>
          <w:szCs w:val="32"/>
        </w:rPr>
        <w:t>（一）企业申请时间：24小时；</w:t>
      </w:r>
    </w:p>
    <w:p>
      <w:pPr>
        <w:spacing w:line="560" w:lineRule="exact"/>
        <w:ind w:firstLineChars="200" w:firstLine="640"/>
        <w:rPr>
          <w:rFonts w:eastAsia="方正仿宋_GBK"/>
          <w:bCs/>
          <w:kern w:val="0"/>
          <w:sz w:val="32"/>
          <w:szCs w:val="32"/>
        </w:rPr>
      </w:pPr>
      <w:r>
        <w:rPr>
          <w:rFonts w:eastAsia="方正仿宋_GBK"/>
          <w:bCs/>
          <w:kern w:val="0"/>
          <w:sz w:val="32"/>
          <w:szCs w:val="32"/>
        </w:rPr>
        <w:t>（二）窗口申请时间：工作日</w:t>
      </w:r>
      <w:r>
        <w:rPr>
          <w:rFonts w:eastAsia="方正仿宋_GBK"/>
          <w:sz w:val="32"/>
          <w:szCs w:val="32"/>
        </w:rPr>
        <w:t>，上午9:00</w:t>
      </w:r>
      <w:r>
        <w:rPr>
          <w:rFonts w:eastAsia="方正仿宋_GBK" w:hint="eastAsia"/>
          <w:sz w:val="32"/>
          <w:szCs w:val="32"/>
        </w:rPr>
        <w:t>—</w:t>
      </w:r>
      <w:r>
        <w:rPr>
          <w:rFonts w:eastAsia="方正仿宋_GBK"/>
          <w:sz w:val="32"/>
          <w:szCs w:val="32"/>
        </w:rPr>
        <w:t>12:00，下午13:30</w:t>
      </w:r>
      <w:r>
        <w:rPr>
          <w:rFonts w:eastAsia="方正仿宋_GBK" w:hint="eastAsia"/>
          <w:sz w:val="32"/>
          <w:szCs w:val="32"/>
        </w:rPr>
        <w:t>—</w:t>
      </w:r>
      <w:r>
        <w:rPr>
          <w:rFonts w:eastAsia="方正仿宋_GBK"/>
          <w:sz w:val="32"/>
          <w:szCs w:val="32"/>
        </w:rPr>
        <w:t>17:00</w:t>
      </w:r>
      <w:r>
        <w:rPr>
          <w:rFonts w:eastAsia="方正仿宋_GBK"/>
          <w:bCs/>
          <w:kern w:val="0"/>
          <w:sz w:val="32"/>
          <w:szCs w:val="32"/>
        </w:rPr>
        <w:t>。</w:t>
      </w:r>
    </w:p>
    <w:p>
      <w:pPr>
        <w:spacing w:line="560" w:lineRule="exact"/>
        <w:ind w:firstLineChars="200" w:firstLine="640"/>
        <w:rPr>
          <w:rFonts w:eastAsia="方正仿宋_GBK"/>
          <w:bCs/>
          <w:sz w:val="32"/>
          <w:szCs w:val="32"/>
        </w:rPr>
      </w:pPr>
      <w:r>
        <w:rPr>
          <w:rFonts w:eastAsia="方正黑体_GBK"/>
          <w:bCs/>
          <w:sz w:val="32"/>
          <w:szCs w:val="32"/>
        </w:rPr>
        <w:t>二十</w:t>
      </w:r>
      <w:r>
        <w:rPr>
          <w:rFonts w:eastAsia="方正黑体_GBK"/>
          <w:bCs/>
          <w:sz w:val="32"/>
          <w:szCs w:val="32"/>
          <w:lang w:val="en-US" w:eastAsia="zh-CN"/>
        </w:rPr>
        <w:t>三</w:t>
      </w:r>
      <w:r>
        <w:rPr>
          <w:rFonts w:eastAsia="方正黑体_GBK"/>
          <w:bCs/>
          <w:sz w:val="32"/>
          <w:szCs w:val="32"/>
        </w:rPr>
        <w:t>、咨询电话：</w:t>
      </w:r>
      <w:r>
        <w:rPr>
          <w:rFonts w:eastAsia="方正仿宋_GBK"/>
          <w:sz w:val="32"/>
          <w:szCs w:val="32"/>
        </w:rPr>
        <w:t>12360海关服务热线。</w:t>
      </w:r>
    </w:p>
    <w:p>
      <w:pPr>
        <w:spacing w:line="560" w:lineRule="exact"/>
        <w:ind w:firstLineChars="200" w:firstLine="640"/>
        <w:rPr>
          <w:rFonts w:eastAsia="方正仿宋_GBK"/>
          <w:sz w:val="32"/>
          <w:szCs w:val="32"/>
        </w:rPr>
      </w:pPr>
      <w:r>
        <w:rPr>
          <w:rFonts w:eastAsia="方正黑体_GBK"/>
          <w:bCs/>
          <w:sz w:val="32"/>
          <w:szCs w:val="32"/>
        </w:rPr>
        <w:t>二十</w:t>
      </w:r>
      <w:r>
        <w:rPr>
          <w:rFonts w:eastAsia="方正黑体_GBK"/>
          <w:bCs/>
          <w:sz w:val="32"/>
          <w:szCs w:val="32"/>
          <w:lang w:val="en-US" w:eastAsia="zh-CN"/>
        </w:rPr>
        <w:t>四</w:t>
      </w:r>
      <w:r>
        <w:rPr>
          <w:rFonts w:eastAsia="方正黑体_GBK"/>
          <w:bCs/>
          <w:sz w:val="32"/>
          <w:szCs w:val="32"/>
        </w:rPr>
        <w:t>、监督电话：</w:t>
      </w:r>
      <w:r>
        <w:rPr>
          <w:rFonts w:eastAsia="方正仿宋_GBK"/>
          <w:sz w:val="32"/>
          <w:szCs w:val="32"/>
        </w:rPr>
        <w:t>12360海关服务热线。</w:t>
      </w:r>
    </w:p>
    <w:p>
      <w:pPr>
        <w:ind w:right="-21"/>
        <w:rPr>
          <w:b/>
          <w:snapToGrid w:val="0"/>
          <w:color w:val="000000"/>
          <w:kern w:val="0"/>
          <w:szCs w:val="21"/>
        </w:rPr>
      </w:pPr>
      <w:r>
        <w:rPr>
          <w:rFonts w:eastAsia="方正小标宋_GBK"/>
          <w:sz w:val="32"/>
          <w:szCs w:val="32"/>
        </w:rPr>
        <w:br w:type="page"/>
      </w:r>
      <w:r>
        <w:rPr>
          <w:rFonts w:eastAsia="方正黑体_GBK"/>
          <w:sz w:val="32"/>
          <w:szCs w:val="32"/>
        </w:rPr>
        <w:t>附件1</w:t>
      </w:r>
    </w:p>
    <w:p>
      <w:pPr>
        <w:pStyle w:val="31"/>
        <w:spacing w:line="560" w:lineRule="exact"/>
        <w:jc w:val="center"/>
        <w:rPr>
          <w:rFonts w:ascii="Times New Roman" w:eastAsia="方正小标宋_GBK" w:cs="Times New Roman" w:hAnsi="Times New Roman"/>
          <w:color w:val="000000"/>
          <w:sz w:val="32"/>
          <w:szCs w:val="32"/>
          <w:bdr w:val="none" w:sz="0" w:space="0" w:color="auto"/>
          <w:lang w:val="en-US" w:eastAsia="zh-CN"/>
        </w:rPr>
      </w:pPr>
    </w:p>
    <w:p>
      <w:pPr>
        <w:pStyle w:val="31"/>
        <w:spacing w:line="560" w:lineRule="exact"/>
        <w:jc w:val="center"/>
        <w:rPr>
          <w:rFonts w:ascii="Times New Roman" w:eastAsia="方正小标宋_GBK" w:cs="Times New Roman" w:hAnsi="Times New Roman"/>
          <w:color w:val="000000"/>
          <w:sz w:val="32"/>
          <w:szCs w:val="32"/>
          <w:bdr w:val="none" w:sz="0" w:space="0" w:color="auto"/>
          <w:lang w:val="en-US" w:eastAsia="zh-CN"/>
        </w:rPr>
      </w:pPr>
      <w:r>
        <w:rPr>
          <w:rFonts w:ascii="Times New Roman" w:eastAsia="方正小标宋_GBK" w:cs="Times New Roman" w:hAnsi="Times New Roman"/>
          <w:color w:val="000000"/>
          <w:sz w:val="32"/>
          <w:szCs w:val="32"/>
          <w:bdr w:val="none" w:sz="0" w:space="0" w:color="auto"/>
          <w:lang w:val="en-US" w:eastAsia="zh-CN"/>
        </w:rPr>
        <w:t>进境非食用动物产品生产、加工、存放指定企业</w:t>
      </w:r>
    </w:p>
    <w:p>
      <w:pPr>
        <w:pStyle w:val="31"/>
        <w:spacing w:line="560" w:lineRule="exact"/>
        <w:jc w:val="center"/>
        <w:rPr>
          <w:rFonts w:ascii="Times New Roman" w:eastAsia="方正小标宋_GBK" w:cs="Times New Roman" w:hAnsi="Times New Roman"/>
          <w:color w:val="000000"/>
          <w:sz w:val="32"/>
          <w:szCs w:val="32"/>
          <w:lang w:bidi="ar-SA"/>
        </w:rPr>
      </w:pPr>
      <w:r>
        <w:rPr>
          <w:rFonts w:ascii="Times New Roman" w:eastAsia="方正小标宋_GBK" w:cs="Times New Roman" w:hAnsi="Times New Roman"/>
          <w:color w:val="000000"/>
          <w:sz w:val="32"/>
          <w:szCs w:val="32"/>
          <w:lang w:bidi="ar-SA"/>
        </w:rPr>
        <w:t>符合性声明</w:t>
      </w:r>
    </w:p>
    <w:p>
      <w:pPr>
        <w:pStyle w:val="31"/>
        <w:spacing w:line="560" w:lineRule="exact"/>
        <w:ind w:left="0"/>
        <w:rPr>
          <w:rFonts w:ascii="Times New Roman" w:eastAsia="方正仿宋_GBK" w:cs="Times New Roman" w:hAnsi="Times New Roman"/>
          <w:color w:val="000000"/>
          <w:sz w:val="32"/>
          <w:szCs w:val="32"/>
          <w:lang w:bidi="ar-SA"/>
        </w:rPr>
      </w:pPr>
      <w:r>
        <w:rPr>
          <w:rFonts w:ascii="Times New Roman" w:eastAsia="方正仿宋_GBK" w:cs="Times New Roman" w:hAnsi="Times New Roman"/>
          <w:sz w:val="32"/>
          <w:szCs w:val="32"/>
          <w:u w:val="single"/>
          <w:bdr w:val="none" w:sz="0" w:space="0" w:color="auto"/>
          <w:lang w:bidi="ar-SA"/>
        </w:rPr>
        <w:t xml:space="preserve">        </w:t>
      </w:r>
      <w:r>
        <w:rPr>
          <w:rFonts w:ascii="Times New Roman" w:eastAsia="方正仿宋_GBK" w:cs="Times New Roman" w:hAnsi="Times New Roman"/>
          <w:color w:val="000000"/>
          <w:sz w:val="32"/>
          <w:szCs w:val="32"/>
          <w:lang w:bidi="ar-SA"/>
        </w:rPr>
        <w:t>海关：</w:t>
      </w:r>
    </w:p>
    <w:p>
      <w:pPr>
        <w:pStyle w:val="31"/>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经审核，我司符合《进境非食用动物产品生产、加工、存放指定企业检疫条件》相关要求，将</w:t>
      </w:r>
      <w:r>
        <w:rPr>
          <w:rFonts w:ascii="Times New Roman" w:eastAsia="方正仿宋_GBK" w:cs="Times New Roman" w:hAnsi="Times New Roman"/>
          <w:bCs/>
          <w:snapToGrid w:val="0"/>
          <w:color w:val="000000"/>
          <w:kern w:val="0"/>
          <w:sz w:val="32"/>
          <w:szCs w:val="32"/>
          <w:lang w:bidi="ar-SA"/>
        </w:rPr>
        <w:t>作为指定加工企业</w:t>
      </w:r>
      <w:r>
        <w:rPr>
          <w:rFonts w:ascii="Times New Roman" w:eastAsia="方正仿宋_GBK" w:cs="Times New Roman" w:hAnsi="Times New Roman"/>
          <w:color w:val="000000"/>
          <w:sz w:val="32"/>
          <w:szCs w:val="32"/>
          <w:lang w:bidi="ar-SA"/>
        </w:rPr>
        <w:t>开展</w:t>
      </w:r>
      <w:r>
        <w:rPr>
          <w:rFonts w:ascii="Times New Roman" w:eastAsia="方正仿宋_GBK" w:cs="Times New Roman" w:hAnsi="Times New Roman"/>
          <w:bCs/>
          <w:snapToGrid w:val="0"/>
          <w:color w:val="000000"/>
          <w:kern w:val="0"/>
          <w:sz w:val="32"/>
          <w:szCs w:val="32"/>
          <w:lang w:bidi="ar-SA"/>
        </w:rPr>
        <w:t>进境非食用动物产品</w:t>
      </w:r>
      <w:r>
        <w:rPr>
          <w:rFonts w:ascii="Times New Roman" w:eastAsia="方正仿宋_GBK" w:cs="Times New Roman" w:hAnsi="Times New Roman"/>
          <w:color w:val="000000"/>
          <w:sz w:val="32"/>
          <w:szCs w:val="32"/>
          <w:lang w:bidi="ar-SA"/>
        </w:rPr>
        <w:t>加工业务。我司将严格落实动物疫情防控措施，持续符合检疫条件，承担生物安全主体责任，配合海关实施检疫监督。</w:t>
      </w:r>
    </w:p>
    <w:p>
      <w:pPr>
        <w:pStyle w:val="31"/>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我司具体信息见附页。</w:t>
      </w:r>
    </w:p>
    <w:p>
      <w:pPr>
        <w:pStyle w:val="31"/>
        <w:spacing w:line="560" w:lineRule="exact"/>
        <w:jc w:val="center"/>
        <w:rPr>
          <w:rFonts w:ascii="Times New Roman" w:eastAsia="方正仿宋_GBK" w:cs="Times New Roman" w:hAnsi="Times New Roman"/>
          <w:color w:val="000000"/>
          <w:sz w:val="32"/>
          <w:szCs w:val="32"/>
          <w:lang w:bidi="ar-SA"/>
        </w:rPr>
      </w:pPr>
    </w:p>
    <w:p>
      <w:pPr>
        <w:pStyle w:val="31"/>
        <w:spacing w:line="560" w:lineRule="exact"/>
        <w:jc w:val="center"/>
        <w:rPr>
          <w:rFonts w:ascii="Times New Roman" w:eastAsia="方正仿宋_GBK" w:cs="Times New Roman" w:hAnsi="Times New Roman"/>
          <w:color w:val="000000"/>
          <w:sz w:val="32"/>
          <w:szCs w:val="32"/>
          <w:lang w:bidi="ar-SA"/>
        </w:rPr>
      </w:pPr>
    </w:p>
    <w:p>
      <w:pPr>
        <w:pStyle w:val="31"/>
        <w:spacing w:line="560" w:lineRule="exact"/>
        <w:jc w:val="center"/>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 xml:space="preserve">                                  联系人及电话：</w:t>
      </w:r>
    </w:p>
    <w:p>
      <w:pPr>
        <w:pStyle w:val="31"/>
        <w:spacing w:line="560" w:lineRule="exact"/>
        <w:jc w:val="center"/>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 xml:space="preserve">                             （企业盖章）</w:t>
      </w:r>
    </w:p>
    <w:p>
      <w:pPr>
        <w:pStyle w:val="31"/>
        <w:spacing w:line="560" w:lineRule="exact"/>
        <w:jc w:val="center"/>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 xml:space="preserve">                               年   月   日</w:t>
      </w:r>
    </w:p>
    <w:p>
      <w:pPr>
        <w:pStyle w:val="32"/>
        <w:spacing w:line="560" w:lineRule="exact"/>
        <w:rPr>
          <w:rFonts w:ascii="Times New Roman" w:cs="Times New Roman" w:hAnsi="Times New Roman"/>
        </w:rPr>
      </w:pPr>
    </w:p>
    <w:p>
      <w:pPr>
        <w:pStyle w:val="31"/>
        <w:spacing w:line="560" w:lineRule="exac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br w:type="page"/>
        <w:t>（附页）</w:t>
      </w:r>
    </w:p>
    <w:p>
      <w:pPr>
        <w:pStyle w:val="31"/>
        <w:spacing w:line="560" w:lineRule="exact"/>
        <w:jc w:val="center"/>
        <w:rPr>
          <w:rFonts w:ascii="Times New Roman" w:eastAsia="方正小标宋_GBK" w:cs="Times New Roman" w:hAnsi="Times New Roman"/>
          <w:color w:val="000000"/>
          <w:sz w:val="36"/>
          <w:szCs w:val="36"/>
          <w:lang w:bidi="ar-SA"/>
        </w:rPr>
      </w:pPr>
      <w:r>
        <w:rPr>
          <w:rFonts w:ascii="Times New Roman" w:eastAsia="方正小标宋_GBK" w:cs="Times New Roman" w:hAnsi="Times New Roman"/>
          <w:color w:val="000000"/>
          <w:sz w:val="36"/>
          <w:szCs w:val="36"/>
          <w:lang w:bidi="ar-SA"/>
        </w:rPr>
        <w:t>企业信息</w:t>
      </w:r>
    </w:p>
    <w:p>
      <w:pPr>
        <w:pStyle w:val="31"/>
        <w:spacing w:line="560" w:lineRule="exact"/>
        <w:ind w:firstLineChars="200" w:firstLine="640"/>
        <w:rPr>
          <w:rFonts w:ascii="Times New Roman" w:eastAsia="方正黑体_GBK" w:cs="Times New Roman" w:hAnsi="Times New Roman"/>
          <w:color w:val="000000"/>
          <w:sz w:val="32"/>
          <w:szCs w:val="32"/>
          <w:lang w:bidi="ar-SA"/>
        </w:rPr>
      </w:pPr>
      <w:r>
        <w:rPr>
          <w:rFonts w:ascii="Times New Roman" w:eastAsia="方正黑体_GBK" w:cs="Times New Roman" w:hAnsi="Times New Roman"/>
          <w:color w:val="000000"/>
          <w:sz w:val="32"/>
          <w:szCs w:val="32"/>
          <w:lang w:bidi="ar-SA"/>
        </w:rPr>
        <w:t>一、基本信息</w:t>
      </w:r>
    </w:p>
    <w:p>
      <w:pPr>
        <w:pStyle w:val="31"/>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名称：</w:t>
      </w:r>
    </w:p>
    <w:p>
      <w:pPr>
        <w:pStyle w:val="31"/>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地址：</w:t>
      </w:r>
    </w:p>
    <w:p>
      <w:pPr>
        <w:pStyle w:val="31"/>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社会统一信用代码：</w:t>
      </w:r>
    </w:p>
    <w:p>
      <w:pPr>
        <w:pStyle w:val="31"/>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法人代表及联系方式：</w:t>
      </w:r>
    </w:p>
    <w:p>
      <w:pPr>
        <w:pStyle w:val="31"/>
        <w:spacing w:line="560" w:lineRule="exact"/>
        <w:ind w:firstLineChars="200" w:firstLine="640"/>
        <w:rPr>
          <w:rFonts w:ascii="Times New Roman" w:eastAsia="方正黑体_GBK" w:cs="Times New Roman" w:hAnsi="Times New Roman"/>
          <w:color w:val="000000"/>
          <w:sz w:val="32"/>
          <w:szCs w:val="32"/>
          <w:lang w:bidi="ar-SA"/>
        </w:rPr>
      </w:pPr>
      <w:r>
        <w:rPr>
          <w:rFonts w:ascii="Times New Roman" w:eastAsia="方正黑体_GBK" w:cs="Times New Roman" w:hAnsi="Times New Roman"/>
          <w:color w:val="000000"/>
          <w:sz w:val="32"/>
          <w:szCs w:val="32"/>
          <w:lang w:bidi="ar-SA"/>
        </w:rPr>
        <w:t>二、随附资料</w:t>
      </w:r>
    </w:p>
    <w:p>
      <w:pPr>
        <w:pStyle w:val="33"/>
        <w:ind w:left="0" w:right="-1" w:firstLineChars="200" w:firstLine="640"/>
        <w:rPr>
          <w:rFonts w:ascii="Times New Roman" w:eastAsia="方正仿宋_GBK" w:cs="Times New Roman" w:hAnsi="Times New Roman"/>
          <w:color w:val="000000"/>
          <w:sz w:val="32"/>
          <w:szCs w:val="32"/>
          <w:bdr w:val="none" w:sz="0" w:space="0" w:color="auto"/>
          <w:lang w:bidi="ar-SA"/>
        </w:rPr>
      </w:pPr>
      <w:r>
        <w:rPr>
          <w:rFonts w:ascii="Times New Roman" w:eastAsia="方正仿宋_GBK" w:cs="Times New Roman" w:hAnsi="Times New Roman"/>
          <w:color w:val="000000"/>
          <w:sz w:val="32"/>
          <w:szCs w:val="32"/>
          <w:lang w:bidi="ar-SA"/>
        </w:rPr>
        <w:t>（一）</w:t>
      </w:r>
      <w:r>
        <w:rPr>
          <w:rFonts w:ascii="Times New Roman" w:eastAsia="方正仿宋_GBK" w:cs="Times New Roman" w:hAnsi="Times New Roman"/>
          <w:color w:val="000000"/>
          <w:sz w:val="32"/>
          <w:szCs w:val="32"/>
          <w:bdr w:val="none" w:sz="0" w:space="0" w:color="auto"/>
          <w:lang w:bidi="ar-SA"/>
        </w:rPr>
        <w:t>申请指定企业时，须提供下列资料：</w:t>
      </w:r>
    </w:p>
    <w:p>
      <w:pPr>
        <w:pStyle w:val="31"/>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1.厂区平面图，并提供重点区域的照片或者视频资料；</w:t>
      </w:r>
    </w:p>
    <w:p>
      <w:pPr>
        <w:pStyle w:val="31"/>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2.工艺流程图，包括加工的温度、使用化学试剂的种类、浓度和pH值、处理的时间和使用的有关设备等情况。（此项不适用于存放企业)；</w:t>
      </w:r>
    </w:p>
    <w:p>
      <w:pPr>
        <w:pStyle w:val="31"/>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3.规章制度：应涵盖生产、加工、存放各环节，包括兽医卫生防疫工作领导小组及其职责、出入库及加工登记管理制度、防疫处理制度、检疫处理药物管理制度、出入库登记及加工登记制度、人员管理制度、疫情应急处置预案以及有效的防火、防盗、防鸟、防虫、灭鼠等安全保障制度。</w:t>
      </w:r>
    </w:p>
    <w:p>
      <w:pPr>
        <w:pStyle w:val="31"/>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（二）企业申请变更指定时，按变更非食用动物产品种类及加工能力、加工工艺以及其他兽医卫生、防疫条件发生变化等具体内容提交下列相关资料：</w:t>
      </w:r>
    </w:p>
    <w:p>
      <w:pPr>
        <w:spacing w:line="560" w:lineRule="exact"/>
        <w:ind w:firstLineChars="200" w:firstLine="640"/>
        <w:rPr>
          <w:rFonts w:eastAsia="方正仿宋_GBK"/>
          <w:bCs/>
          <w:sz w:val="32"/>
          <w:szCs w:val="32"/>
        </w:rPr>
      </w:pPr>
      <w:r>
        <w:rPr>
          <w:rFonts w:eastAsia="方正仿宋_GBK"/>
          <w:bCs/>
          <w:sz w:val="32"/>
          <w:szCs w:val="32"/>
        </w:rPr>
        <w:t>1.企业改建或扩建平面图(适用于调整加工、存放能力、加工产品种类)；</w:t>
      </w:r>
    </w:p>
    <w:p>
      <w:pPr>
        <w:spacing w:line="560" w:lineRule="exact"/>
        <w:ind w:firstLineChars="200" w:firstLine="640"/>
        <w:rPr>
          <w:rFonts w:eastAsia="方正仿宋_GBK"/>
          <w:bCs/>
          <w:sz w:val="32"/>
          <w:szCs w:val="32"/>
        </w:rPr>
      </w:pPr>
      <w:r>
        <w:rPr>
          <w:rFonts w:eastAsia="方正仿宋_GBK"/>
          <w:bCs/>
          <w:sz w:val="32"/>
          <w:szCs w:val="32"/>
        </w:rPr>
        <w:t xml:space="preserve">2.工艺流程图，包括加工的温度、使用化学试剂的种类、浓度和PH值、处理的时间和使用的有关设备等情况。（此项不适用于存放企业）； </w:t>
      </w:r>
    </w:p>
    <w:p>
      <w:pPr>
        <w:spacing w:line="560" w:lineRule="exact"/>
        <w:ind w:firstLineChars="200" w:firstLine="640"/>
        <w:rPr>
          <w:rFonts w:eastAsia="方正黑体_GBK"/>
          <w:sz w:val="32"/>
          <w:szCs w:val="32"/>
        </w:rPr>
      </w:pPr>
      <w:r>
        <w:rPr>
          <w:rFonts w:eastAsia="方正仿宋_GBK"/>
          <w:bCs/>
          <w:sz w:val="32"/>
          <w:szCs w:val="32"/>
        </w:rPr>
        <w:t>3.图片资料：有关生产、加工、存放设施布局发生变更的情况。</w:t>
      </w:r>
      <w:r>
        <w:rPr>
          <w:rFonts w:eastAsia="方正黑体_GBK"/>
          <w:sz w:val="32"/>
          <w:szCs w:val="32"/>
        </w:rPr>
        <w:br w:type="page"/>
        <w:t>附件2</w:t>
      </w:r>
    </w:p>
    <w:p>
      <w:pPr>
        <w:jc w:val="center"/>
        <w:rPr>
          <w:rFonts w:eastAsia="方正黑体_GBK"/>
          <w:sz w:val="32"/>
          <w:szCs w:val="32"/>
        </w:rPr>
      </w:pPr>
      <w:r>
        <w:rPr>
          <w:rFonts w:eastAsia="方正黑体_GBK"/>
          <w:sz w:val="32"/>
          <w:szCs w:val="32"/>
        </w:rPr>
        <w:t>办理流程图</w:t>
      </w:r>
    </w:p>
    <w:p>
      <w:pPr>
        <w:spacing w:line="240" w:lineRule="auto"/>
        <w:rPr>
          <w:rFonts w:eastAsia="方正黑体_GBK"/>
          <w:sz w:val="32"/>
          <w:szCs w:val="32"/>
          <w:lang w:val="en-US" w:eastAsia="zh-CN"/>
        </w:rPr>
      </w:pPr>
      <w:r>
        <w:rPr>
          <w:rFonts w:eastAsia="方正黑体_GBK"/>
          <w:sz w:val="32"/>
          <w:szCs w:val="32"/>
          <w:lang w:val="en-US" w:eastAsia="zh-CN"/>
        </w:rPr>
        <w:drawing>
          <wp:inline distT="0" distB="0" distL="85723" distR="85723">
            <wp:extent cx="5274310" cy="4185050"/>
            <wp:effectExtent l="0" t="0" r="0" b="0"/>
            <wp:docPr id="1" name="图片"/>
            <wp:cNvGraphicFramePr>
              <a:graphicFrameLocks noChangeAspect="1"/>
            </wp:cNvGraphicFramePr>
            <a:graphic>
              <a:graphicData uri="http://schemas.openxmlformats.org/drawingml/2006/picture">
                <pic:pic>
                  <pic:nvPicPr>
                    <pic:cNvPr id="3" name="图片 3"/>
                    <pic:cNvPicPr/>
                  </pic:nvPicPr>
                  <pic:blipFill>
                    <a:blip r:embed="rId3"/>
                    <a:stretch>
                      <a:fillRect/>
                    </a:stretch>
                  </pic:blipFill>
                  <pic:spPr>
                    <a:xfrm rot="0">
                      <a:off x="0" y="0"/>
                      <a:ext cx="5274310" cy="4185050"/>
                    </a:xfrm>
                    <a:prstGeom prst="rect"/>
                    <a:noFill/>
                    <a:ln w="9525" cmpd="sng" cap="flat">
                      <a:noFill/>
                      <a:prstDash val="solid"/>
                      <a:miter/>
                    </a:ln>
                  </pic:spPr>
                </pic:pic>
              </a:graphicData>
            </a:graphic>
          </wp:inline>
        </w:drawing>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华文宋体"/>
    <w:panose1 w:val="02010600030101010101"/>
    <w:charset w:val="86"/>
    <w:family w:val="auto"/>
    <w:pitch w:val="variable"/>
    <w:sig w:usb0="00000203" w:usb1="288F0000" w:usb2="00000006" w:usb3="00000000" w:csb0="00040001" w:csb1="00000000"/>
  </w:font>
  <w:font w:name="方正小标宋_GBK">
    <w:altName w:val="微软雅黑"/>
    <w:panose1 w:val="03000509000000000000"/>
    <w:charset w:val="86"/>
    <w:family w:val="script"/>
    <w:pitch w:val="variable"/>
    <w:sig w:usb0="00000000" w:usb1="00000000" w:usb2="00000010" w:usb3="00000000" w:csb0="00040000" w:csb1="00000000"/>
  </w:font>
  <w:font w:name="方正黑体_GBK">
    <w:altName w:val="微软雅黑"/>
    <w:panose1 w:val="03000509000000000000"/>
    <w:charset w:val="86"/>
    <w:family w:val="script"/>
    <w:pitch w:val="variable"/>
    <w:sig w:usb0="00000000" w:usb1="00000000" w:usb2="00000010" w:usb3="00000000" w:csb0="00040000" w:csb1="00000000"/>
  </w:font>
  <w:font w:name="方正仿宋_GBK">
    <w:altName w:val="微软雅黑"/>
    <w:panose1 w:val="03000509000000000000"/>
    <w:charset w:val="86"/>
    <w:family w:val="script"/>
    <w:pitch w:val="variable"/>
    <w:sig w:usb0="00000000" w:usb1="00000000" w:usb2="00000010" w:usb3="00000000" w:csb0="00040000" w:csb1="00000000"/>
  </w:font>
  <w:font w:name="仿宋_GB2312">
    <w:altName w:val="仿宋"/>
    <w:panose1 w:val="00000000000000000000"/>
    <w:charset w:val="00"/>
    <w:family w:val="auto"/>
    <w:pitch w:val="variable"/>
    <w:sig w:usb0="00000000" w:usb1="00000000" w:usb2="00000000" w:usb3="00000000" w:csb0="00040001" w:csb1="00000000"/>
  </w:font>
  <w:font w:name="Times New Roman">
    <w:panose1 w:val="02020603050405020304"/>
    <w:charset w:val="00"/>
    <w:family w:val="roman"/>
    <w:pitch w:val="variable"/>
    <w:sig w:usb0="20007A87" w:usb1="80000000" w:usb2="00000008" w:usb3="00000000" w:csb0="000001FF" w:csb1="00000000"/>
  </w:font>
  <w:font w:name="黑体">
    <w:altName w:val="方正黑体_GBK"/>
    <w:panose1 w:val="02010609060101010101"/>
    <w:charset w:val="86"/>
    <w:family w:val="auto"/>
    <w:pitch w:val="variable"/>
    <w:sig w:usb0="800002BF" w:usb1="38CF7CFA" w:usb2="00000016" w:usb3="00000000" w:csb0="00040001" w:csb1="00000000"/>
  </w:font>
  <w:font w:name="Calibri">
    <w:altName w:val="Times New Roman"/>
    <w:panose1 w:val="020F0502020204030204"/>
    <w:charset w:val="00"/>
    <w:family w:val="swiss"/>
    <w:pitch w:val="variable"/>
    <w:sig w:usb0="E4002EFF" w:usb1="C200247B" w:usb2="00000009" w:usb3="00000000" w:csb0="200001FF" w:csb1="00000000"/>
  </w:font>
  <w:font w:name="Arial">
    <w:altName w:val="DejaVu Sans"/>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tabs>
        <w:tab w:val="center" w:pos="4153"/>
        <w:tab w:val="right" w:pos="8306"/>
      </w:tabs>
      <w:jc w:val="center"/>
      <w:rPr>
        <w:rFonts w:ascii="宋体"/>
        <w:sz w:val="32"/>
        <w:szCs w:val="32"/>
      </w:rPr>
    </w:pPr>
    <w:r>
      <w:rPr>
        <w:rFonts w:ascii="宋体" w:hint="eastAsia"/>
        <w:sz w:val="32"/>
        <w:szCs w:val="32"/>
      </w:rPr>
      <w:fldChar w:fldCharType="begin"/>
    </w:r>
    <w:r>
      <w:rPr>
        <w:rFonts w:ascii="宋体" w:hint="eastAsia"/>
        <w:sz w:val="32"/>
        <w:szCs w:val="32"/>
      </w:rPr>
      <w:instrText xml:space="preserve"> PAGE   \* MERGEFORMAT </w:instrText>
    </w:r>
    <w:r>
      <w:rPr>
        <w:rFonts w:ascii="宋体" w:hint="eastAsia"/>
        <w:sz w:val="32"/>
        <w:szCs w:val="32"/>
      </w:rPr>
      <w:fldChar w:fldCharType="separate"/>
    </w:r>
    <w:r>
      <w:rPr>
        <w:rFonts w:ascii="宋体"/>
        <w:sz w:val="32"/>
        <w:szCs w:val="32"/>
        <w:lang w:val="zh-CN"/>
      </w:rPr>
      <w:t>2</w:t>
    </w:r>
    <w:r>
      <w:rPr>
        <w:rFonts w:ascii="宋体" w:hint="eastAsia"/>
        <w:sz w:val="32"/>
        <w:szCs w:val="32"/>
      </w:rPr>
      <w:fldChar w:fldCharType="end"/>
    </w:r>
  </w:p>
  <w:p>
    <w:pPr>
      <w:pStyle w:val="17"/>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52"/>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docVar w:name="commondata" w:val="eyJoZGlkIjoiY2JlYTRlMWNiOWZlMjQ2NDAwN2ZhZDYwZmNjNjZiYz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annotation text"/>
    <w:basedOn w:val="0"/>
    <w:pPr>
      <w:jc w:val="left"/>
    </w:pPr>
  </w:style>
  <w:style w:type="paragraph" w:styleId="16">
    <w:name w:val="Balloon Text"/>
    <w:basedOn w:val="0"/>
    <w:rPr>
      <w:sz w:val="18"/>
      <w:szCs w:val="18"/>
    </w:rPr>
  </w:style>
  <w:style w:type="paragraph" w:styleId="17">
    <w:name w:val="footer"/>
    <w:basedOn w:val="0"/>
    <w:pPr>
      <w:tabs>
        <w:tab w:val="center" w:pos="4153"/>
        <w:tab w:val="right" w:pos="8306"/>
      </w:tabs>
      <w:snapToGrid w:val="0"/>
      <w:jc w:val="left"/>
    </w:pPr>
    <w:rPr>
      <w:sz w:val="18"/>
      <w:szCs w:val="18"/>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paragraph" w:styleId="19">
    <w:name w:val="Normal (Web)"/>
    <w:basedOn w:val="0"/>
    <w:pPr>
      <w:widowControl/>
      <w:spacing w:before="100" w:beforeAutospacing="1" w:after="100" w:afterAutospacing="1"/>
      <w:jc w:val="left"/>
    </w:pPr>
    <w:rPr>
      <w:rFonts w:ascii="宋体" w:cs="宋体"/>
      <w:kern w:val="0"/>
      <w:sz w:val="24"/>
    </w:rPr>
  </w:style>
  <w:style w:type="character" w:styleId="20">
    <w:name w:val="Hyperlink"/>
    <w:rPr>
      <w:color w:val="0000FF"/>
      <w:u w:val="single"/>
    </w:rPr>
  </w:style>
  <w:style w:type="character" w:customStyle="1" w:styleId="21">
    <w:name w:val="h-control-text-title1"/>
    <w:rPr>
      <w:rFonts w:ascii="宋体" w:eastAsia="宋体"/>
      <w:b/>
      <w:bCs/>
      <w:sz w:val="24"/>
      <w:szCs w:val="24"/>
      <w:shd w:val="clear" w:color="auto" w:fill="F5F5F5"/>
    </w:rPr>
  </w:style>
  <w:style w:type="paragraph" w:customStyle="1" w:styleId="22">
    <w:name w:val="正文20"/>
    <w:next w:val="16"/>
    <w:pPr>
      <w:widowControl w:val="0"/>
      <w:jc w:val="both"/>
    </w:pPr>
    <w:rPr>
      <w:rFonts w:ascii="Times New Roman" w:eastAsia="宋体" w:cs="Times New Roman" w:hAnsi="Times New Roman"/>
      <w:kern w:val="2"/>
      <w:sz w:val="21"/>
      <w:szCs w:val="21"/>
      <w:lang w:val="en-US" w:eastAsia="zh-CN" w:bidi="ar-SA"/>
    </w:rPr>
  </w:style>
  <w:style w:type="paragraph" w:customStyle="1" w:styleId="23">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4">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5">
    <w:name w:val="_Style 1"/>
    <w:basedOn w:val="0"/>
    <w:pPr>
      <w:ind w:firstLineChars="200" w:firstLine="200"/>
    </w:pPr>
    <w:rPr>
      <w:rFonts w:ascii="Calibri" w:hAnsi="Calibri"/>
      <w:szCs w:val="22"/>
    </w:rPr>
  </w:style>
  <w:style w:type="paragraph" w:customStyle="1" w:styleId="26">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3 三号"/>
    <w:pPr>
      <w:widowControl w:val="0"/>
      <w:jc w:val="both"/>
    </w:pPr>
    <w:rPr>
      <w:rFonts w:ascii="Times New Roman" w:eastAsia="仿宋_GB2312" w:cs="Times New Roman" w:hAnsi="Times New Roman"/>
      <w:kern w:val="2"/>
      <w:sz w:val="32"/>
      <w:szCs w:val="24"/>
      <w:lang w:val="en-US" w:eastAsia="zh-CN" w:bidi="ar-SA"/>
    </w:rPr>
  </w:style>
  <w:style w:type="paragraph" w:customStyle="1" w:styleId="30">
    <w:name w:val="样式 3 小四"/>
    <w:next w:val="20"/>
    <w:rPr>
      <w:rFonts w:ascii="Times New Roman" w:eastAsia="宋体" w:cs="Times New Roman" w:hAnsi="Times New Roman"/>
      <w:sz w:val="24"/>
      <w:szCs w:val="24"/>
      <w:lang w:val="en-US" w:eastAsia="zh-CN" w:bidi="ar-SA"/>
    </w:rPr>
  </w:style>
  <w:style w:type="paragraph" w:customStyle="1" w:styleId="31">
    <w:name w:val="样式 197 10 磅"/>
    <w:next w:val="22"/>
    <w:pPr>
      <w:widowControl w:val="0"/>
      <w:jc w:val="both"/>
    </w:pPr>
    <w:rPr>
      <w:rFonts w:ascii="Calibri" w:eastAsia="宋体" w:cs="Arial" w:hAnsi="Calibri"/>
      <w:kern w:val="2"/>
      <w:sz w:val="21"/>
      <w:szCs w:val="22"/>
      <w:lang w:val="en-US" w:eastAsia="zh-CN" w:bidi="ar-SA"/>
    </w:rPr>
  </w:style>
  <w:style w:type="paragraph" w:customStyle="1" w:styleId="32">
    <w:name w:val="样式 5 10 磅"/>
    <w:pPr>
      <w:widowControl w:val="0"/>
      <w:jc w:val="both"/>
    </w:pPr>
    <w:rPr>
      <w:rFonts w:ascii="Calibri" w:eastAsia="宋体" w:cs="Arial" w:hAnsi="Calibri"/>
      <w:kern w:val="2"/>
      <w:sz w:val="21"/>
      <w:szCs w:val="24"/>
      <w:lang w:val="en-US" w:eastAsia="zh-CN" w:bidi="ar-SA"/>
    </w:rPr>
  </w:style>
  <w:style w:type="paragraph" w:customStyle="1" w:styleId="33">
    <w:name w:val="样式 148 10 磅"/>
    <w:next w:val="23"/>
    <w:pPr>
      <w:widowControl w:val="0"/>
      <w:jc w:val="both"/>
    </w:pPr>
    <w:rPr>
      <w:rFonts w:ascii="Calibri" w:eastAsia="宋体" w:cs="Arial" w:hAnsi="Calibri"/>
      <w:kern w:val="2"/>
      <w:sz w:val="21"/>
      <w:szCs w:val="22"/>
      <w:lang w:val="en-US" w:eastAsia="zh-CN" w:bidi="ar-SA"/>
    </w:rPr>
  </w:style>
  <w:style w:type="paragraph" w:customStyle="1" w:styleId="34">
    <w:name w:val="样式 147 10 磅"/>
    <w:next w:val="24"/>
    <w:pPr>
      <w:widowControl w:val="0"/>
      <w:jc w:val="both"/>
    </w:pPr>
    <w:rPr>
      <w:rFonts w:ascii="Calibri" w:eastAsia="宋体" w:cs="Arial" w:hAnsi="Calibri"/>
      <w:kern w:val="2"/>
      <w:sz w:val="21"/>
      <w:szCs w:val="22"/>
      <w:lang w:val="en-US" w:eastAsia="zh-CN" w:bidi="ar-SA"/>
    </w:rPr>
  </w:style>
  <w:style w:type="paragraph" w:customStyle="1" w:styleId="35">
    <w:name w:val="样式 6 10 磅"/>
    <w:pPr>
      <w:widowControl w:val="0"/>
      <w:jc w:val="both"/>
    </w:pPr>
    <w:rPr>
      <w:rFonts w:ascii="方正黑体_GBK" w:eastAsia="方正黑体_GBK" w:cs="Arial"/>
      <w:kern w:val="2"/>
      <w:sz w:val="21"/>
      <w:szCs w:val="24"/>
      <w:lang w:val="en-US" w:eastAsia="zh-CN" w:bidi="ar-SA"/>
    </w:rPr>
  </w:style>
  <w:style w:type="paragraph" w:customStyle="1" w:styleId="36">
    <w:name w:val="样式 7 10 磅"/>
    <w:pPr>
      <w:widowControl w:val="0"/>
      <w:jc w:val="both"/>
    </w:pPr>
    <w:rPr>
      <w:rFonts w:ascii="方正黑体_GBK" w:eastAsia="方正黑体_GBK" w:cs="Arial"/>
      <w:kern w:val="2"/>
      <w:sz w:val="21"/>
      <w:szCs w:val="24"/>
      <w:lang w:val="en-US" w:eastAsia="zh-CN" w:bidi="ar-SA"/>
    </w:rPr>
  </w:style>
  <w:style w:type="paragraph" w:customStyle="1" w:styleId="37">
    <w:name w:val="样式 8 10 磅"/>
    <w:pPr>
      <w:widowControl w:val="0"/>
      <w:jc w:val="both"/>
    </w:pPr>
    <w:rPr>
      <w:rFonts w:ascii="方正黑体_GBK" w:eastAsia="方正黑体_GBK" w:cs="Arial"/>
      <w:kern w:val="2"/>
      <w:sz w:val="21"/>
      <w:szCs w:val="24"/>
      <w:lang w:val="en-US" w:eastAsia="zh-CN" w:bidi="ar-SA"/>
    </w:rPr>
  </w:style>
  <w:style w:type="paragraph" w:customStyle="1" w:styleId="38">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13 10 磅"/>
    <w:pPr>
      <w:widowControl w:val="0"/>
      <w:jc w:val="both"/>
    </w:pPr>
    <w:rPr>
      <w:rFonts w:ascii="Calibri" w:eastAsia="宋体" w:cs="Arial" w:hAnsi="Calibri"/>
      <w:kern w:val="2"/>
      <w:sz w:val="21"/>
      <w:szCs w:val="22"/>
      <w:lang w:val="en-US" w:eastAsia="zh-CN" w:bidi="ar-SA"/>
    </w:rPr>
  </w:style>
  <w:style w:type="paragraph" w:customStyle="1" w:styleId="43">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15 10 磅"/>
    <w:pPr>
      <w:widowControl w:val="0"/>
      <w:jc w:val="both"/>
    </w:pPr>
    <w:rPr>
      <w:rFonts w:ascii="方正黑体_GBK" w:eastAsia="方正黑体_GBK" w:cs="Arial"/>
      <w:b w:val="0"/>
      <w:bCs w:val="0"/>
      <w:kern w:val="2"/>
      <w:sz w:val="21"/>
      <w:szCs w:val="24"/>
      <w:lang w:val="en-US" w:eastAsia="zh-CN" w:bidi="ar-SA"/>
    </w:rPr>
  </w:style>
  <w:style w:type="paragraph" w:customStyle="1" w:styleId="147">
    <w:name w:val="样式 16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g"/><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405</TotalTime>
  <Application>Yozo_Office</Application>
  <Pages>11</Pages>
  <Words>3207</Words>
  <Characters>3419</Characters>
  <Lines>197</Lines>
  <Paragraphs>99</Paragraphs>
  <CharactersWithSpaces>3556</CharactersWithSpaces>
  <Company>QDHG</Company>
</Properties>
</file>

<file path=docProps/core.xml><?xml version="1.0" encoding="utf-8"?>
<cp:coreProperties xmlns:cp="http://schemas.openxmlformats.org/package/2006/metadata/core-properties" xmlns:dc="http://purl.org/dc/elements/1.1/" xmlns:dcterms="http://purl.org/dc/terms/" xmlns:xsi="http://www.w3.org/2001/XMLSchema-instance">
  <dc:creator>李强</dc:creator>
  <cp:lastModifiedBy>王念一</cp:lastModifiedBy>
  <cp:revision>5</cp:revision>
  <cp:lastPrinted>2025-12-25T07:58:02Z</cp:lastPrinted>
  <dcterms:created xsi:type="dcterms:W3CDTF">2020-07-14T08:44:00Z</dcterms:created>
  <dcterms:modified xsi:type="dcterms:W3CDTF">2026-03-17T05:32:52Z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2052-11.1.0.12165</vt:lpwstr>
  </property>
  <property fmtid="{D5CDD505-2E9C-101B-9397-08002B2CF9AE}" pid="3" name="ICV">
    <vt:lpwstr>C1DF7592C0924077B2B172AAF7B5BD39</vt:lpwstr>
  </property>
</Properties>
</file>