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before="100" w:beforeAutospacing="1" w:after="100" w:afterAutospacing="1"/>
        <w:jc w:val="center"/>
        <w:rPr>
          <w:rFonts w:ascii="方正黑体_GBK" w:eastAsia="方正黑体_GBK" w:cs="宋体"/>
          <w:kern w:val="0"/>
          <w:sz w:val="32"/>
          <w:szCs w:val="32"/>
        </w:rPr>
      </w:pPr>
      <w:bookmarkStart w:id="0" w:name="_GoBack"/>
      <w:bookmarkEnd w:id="0"/>
      <w:r>
        <w:rPr>
          <w:rFonts w:eastAsia="方正小标宋_GBK" w:hint="eastAsia"/>
          <w:sz w:val="32"/>
          <w:szCs w:val="32"/>
        </w:rPr>
        <w:t>“</w:t>
      </w:r>
      <w:r>
        <w:rPr>
          <w:rFonts w:eastAsia="方正小标宋_GBK"/>
          <w:sz w:val="32"/>
          <w:szCs w:val="32"/>
        </w:rPr>
        <w:t>海关归类预裁定业务</w:t>
      </w:r>
      <w:r>
        <w:rPr>
          <w:rFonts w:eastAsia="方正小标宋_GBK" w:hint="eastAsia"/>
          <w:sz w:val="32"/>
          <w:szCs w:val="32"/>
        </w:rPr>
        <w:t>”政务服务事项办事指南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一、事项名称：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海关归类预裁定业务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二、事项类型：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其他政务服务事项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三、设定依据：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《海关总署关于实施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&lt;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中华人民共和国海关预裁定管理暂行办法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&gt;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有关事项的公告》（海关总署公告〔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2018</w:t>
      </w:r>
      <w:r>
        <w:rPr>
          <w:rFonts w:ascii="方正仿宋_GBK" w:eastAsia="方正仿宋_GBK" w:cs="宋体" w:hint="eastAsia"/>
          <w:kern w:val="0"/>
          <w:sz w:val="32"/>
          <w:szCs w:val="32"/>
        </w:rPr>
        <w:t>〕第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 xml:space="preserve">14 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号）。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第</w:t>
      </w:r>
      <w:r>
        <w:rPr>
          <w:rFonts w:ascii="方正仿宋_GBK" w:eastAsia="方正仿宋_GBK" w:cs="宋体"/>
          <w:kern w:val="0"/>
          <w:sz w:val="32"/>
          <w:szCs w:val="32"/>
        </w:rPr>
        <w:t>一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条：</w:t>
      </w:r>
      <w:r>
        <w:rPr>
          <w:rFonts w:eastAsia="方正仿宋_GBK"/>
          <w:sz w:val="32"/>
          <w:szCs w:val="32"/>
        </w:rPr>
        <w:t>为了促进贸易安全与便利，优化营商环境，增强企业对进出口贸易活动的可预期性，根据《中华人民共和国海关法》以及有关法律、行政法规和我国政府缔结或者加入的有关国际条约、协定的规定，制定本办法。</w:t>
      </w:r>
    </w:p>
    <w:p>
      <w:pPr>
        <w:widowControl/>
        <w:spacing w:before="100" w:beforeAutospacing="1" w:after="100" w:afterAutospacing="1"/>
        <w:jc w:val="left"/>
        <w:rPr>
          <w:rFonts w:ascii="方正仿宋_GBK" w:eastAsia="方正仿宋_GBK" w:cs="宋体"/>
          <w:color w:val="545454"/>
          <w:kern w:val="0"/>
          <w:sz w:val="32"/>
          <w:szCs w:val="32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四、办理（实施）机构：</w:t>
      </w:r>
      <w:r>
        <w:rPr>
          <w:rFonts w:ascii="方正仿宋_GBK" w:eastAsia="方正仿宋_GBK" w:cs="宋体" w:hint="eastAsia"/>
          <w:sz w:val="32"/>
          <w:szCs w:val="32"/>
        </w:rPr>
        <w:t>哈尔滨海关关税处减免税与归类管</w:t>
      </w:r>
      <w:r>
        <w:rPr>
          <w:rFonts w:ascii="方正仿宋_GBK" w:eastAsia="方正仿宋_GBK" w:cs="宋体" w:hint="eastAsia"/>
          <w:kern w:val="0"/>
          <w:sz w:val="32"/>
          <w:szCs w:val="32"/>
        </w:rPr>
        <w:t>理科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五.、法定办结时限：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除属于疑难问题或需专家认证的，自受理之日起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60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日内作出预裁定决定。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六、承诺办结时限：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自受理之日起</w:t>
      </w:r>
      <w:r>
        <w:rPr>
          <w:rFonts w:ascii="Times New Roman" w:eastAsia="方正黑体_GBK" w:cs="Times New Roman" w:hAnsi="Times New Roman"/>
          <w:kern w:val="0"/>
          <w:sz w:val="32"/>
          <w:szCs w:val="32"/>
        </w:rPr>
        <w:t>60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日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七.、结果名称：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预裁定决定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八、结果样本：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（一）《中华人民共和国海关预裁定</w:t>
      </w:r>
      <w:r>
        <w:rPr>
          <w:rFonts w:ascii="方正仿宋_GBK" w:eastAsia="方正仿宋_GBK" w:cs="宋体"/>
          <w:kern w:val="0"/>
          <w:sz w:val="32"/>
          <w:szCs w:val="32"/>
        </w:rPr>
        <w:t>申请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书（商品归类）》（见附件</w:t>
      </w:r>
      <w:r>
        <w:rPr>
          <w:rFonts w:ascii="宋体" w:eastAsia="宋体" w:cs="宋体"/>
          <w:kern w:val="0"/>
          <w:sz w:val="32"/>
          <w:szCs w:val="32"/>
        </w:rPr>
        <w:t>1</w:t>
      </w:r>
      <w:r>
        <w:rPr>
          <w:rFonts w:ascii="方正仿宋_GBK" w:eastAsia="方正仿宋_GBK" w:cs="宋体" w:hint="eastAsia"/>
          <w:kern w:val="0"/>
          <w:sz w:val="32"/>
          <w:szCs w:val="32"/>
        </w:rPr>
        <w:t>）。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九、收费标准：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不收取任何费用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十、收费依据：</w:t>
      </w:r>
      <w:r>
        <w:rPr>
          <w:rFonts w:ascii="方正仿宋_GBK" w:eastAsia="方正仿宋_GBK" w:cs="宋体" w:hint="eastAsia"/>
          <w:color w:val="000000"/>
          <w:kern w:val="0"/>
          <w:sz w:val="32"/>
          <w:szCs w:val="32"/>
        </w:rPr>
        <w:t>无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十一、申请条件：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（一）预裁定的申请人应当是进口货物收货人或出口货物发货人。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（二）申请人应当在货物拟进出口</w:t>
      </w:r>
      <w:r>
        <w:rPr>
          <w:rFonts w:ascii="宋体" w:eastAsia="宋体" w:cs="宋体" w:hint="eastAsia"/>
          <w:kern w:val="0"/>
          <w:sz w:val="32"/>
          <w:szCs w:val="32"/>
        </w:rPr>
        <w:t>3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个月前向其注册地直属海关提出预裁定申请。有下列特殊情况之一，且申请人有正当理由，经直属海关批准，可以在货物拟进出口前</w:t>
      </w:r>
      <w:r>
        <w:rPr>
          <w:rFonts w:ascii="宋体" w:eastAsia="宋体" w:cs="宋体" w:hint="eastAsia"/>
          <w:kern w:val="0"/>
          <w:sz w:val="32"/>
          <w:szCs w:val="32"/>
        </w:rPr>
        <w:t>3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个月内提出预裁定申请：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32"/>
          <w:szCs w:val="32"/>
        </w:rPr>
        <w:t>1.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因不可抗力或政策调整原因造成申请时间距实际进出口时间少于</w:t>
      </w:r>
      <w:r>
        <w:rPr>
          <w:rFonts w:ascii="宋体" w:eastAsia="宋体" w:cs="宋体" w:hint="eastAsia"/>
          <w:kern w:val="0"/>
          <w:sz w:val="32"/>
          <w:szCs w:val="32"/>
        </w:rPr>
        <w:t>3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个月的；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宋体" w:eastAsia="宋体" w:cs="宋体" w:hint="eastAsia"/>
          <w:kern w:val="0"/>
          <w:sz w:val="32"/>
          <w:szCs w:val="32"/>
        </w:rPr>
        <w:t>2.</w:t>
      </w:r>
      <w:r>
        <w:rPr>
          <w:rFonts w:ascii="方正仿宋_GBK" w:eastAsia="方正仿宋_GBK" w:cs="宋体" w:hint="eastAsia"/>
          <w:kern w:val="0"/>
          <w:sz w:val="32"/>
          <w:szCs w:val="32"/>
        </w:rPr>
        <w:t>申请企业在海关注册时间少于</w:t>
      </w:r>
      <w:r>
        <w:rPr>
          <w:rFonts w:ascii="宋体" w:eastAsia="宋体" w:cs="宋体" w:hint="eastAsia"/>
          <w:kern w:val="0"/>
          <w:sz w:val="32"/>
          <w:szCs w:val="32"/>
        </w:rPr>
        <w:t>3</w:t>
      </w:r>
      <w:r>
        <w:rPr>
          <w:rFonts w:ascii="方正仿宋_GBK" w:eastAsia="方正仿宋_GBK" w:cs="宋体" w:hint="eastAsia"/>
          <w:kern w:val="0"/>
          <w:sz w:val="32"/>
          <w:szCs w:val="32"/>
        </w:rPr>
        <w:t>个月的。</w:t>
      </w:r>
    </w:p>
    <w:p>
      <w:pPr>
        <w:widowControl/>
        <w:spacing w:before="100" w:beforeAutospacing="1" w:after="100" w:afterAutospacing="1"/>
        <w:jc w:val="left"/>
        <w:rPr>
          <w:rFonts w:ascii="Times New Roman" w:eastAsia="方正黑体_GBK" w:cs="宋体" w:hAnsi="Times New Roman"/>
          <w:sz w:val="32"/>
          <w:szCs w:val="32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十二、办理（申请）材料目录</w:t>
      </w:r>
    </w:p>
    <w:p>
      <w:pPr>
        <w:widowControl/>
        <w:spacing w:before="100" w:beforeAutospacing="1" w:after="100" w:afterAutospacing="1"/>
        <w:jc w:val="left"/>
        <w:rPr>
          <w:rFonts w:ascii="Times New Roman" w:eastAsia="方正黑体_GBK" w:cs="宋体" w:hAnsi="Times New Roman"/>
          <w:sz w:val="32"/>
          <w:szCs w:val="32"/>
        </w:rPr>
      </w:pPr>
    </w:p>
    <w:tbl>
      <w:tblPr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098"/>
        <w:gridCol w:w="1742"/>
        <w:gridCol w:w="1420"/>
        <w:gridCol w:w="1421"/>
        <w:gridCol w:w="1421"/>
      </w:tblGrid>
      <w:tr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方正黑体_GBK" w:cs="宋体" w:hAnsi="Times New Roman"/>
                <w:sz w:val="28"/>
                <w:szCs w:val="28"/>
              </w:rPr>
            </w:pPr>
            <w:r>
              <w:rPr>
                <w:rFonts w:ascii="Times New Roman" w:eastAsia="方正黑体_GBK" w:cs="宋体" w:hAnsi="Times New Roman" w:hint="eastAsia"/>
                <w:sz w:val="28"/>
                <w:szCs w:val="28"/>
              </w:rPr>
              <w:t>材料名称</w:t>
            </w:r>
          </w:p>
        </w:tc>
        <w:tc>
          <w:tcPr>
            <w:tcW w:w="1098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方正黑体_GBK" w:cs="宋体" w:hAnsi="Times New Roman"/>
                <w:sz w:val="28"/>
                <w:szCs w:val="28"/>
              </w:rPr>
            </w:pPr>
            <w:r>
              <w:rPr>
                <w:rFonts w:ascii="Times New Roman" w:eastAsia="方正黑体_GBK" w:cs="宋体" w:hAnsi="Times New Roman" w:hint="eastAsia"/>
                <w:sz w:val="28"/>
                <w:szCs w:val="28"/>
              </w:rPr>
              <w:t>材料填写样本</w:t>
            </w:r>
          </w:p>
        </w:tc>
        <w:tc>
          <w:tcPr>
            <w:tcW w:w="1742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方正黑体_GBK" w:cs="宋体" w:hAnsi="Times New Roman"/>
                <w:sz w:val="28"/>
                <w:szCs w:val="28"/>
              </w:rPr>
            </w:pPr>
            <w:r>
              <w:rPr>
                <w:rFonts w:ascii="Times New Roman" w:eastAsia="方正黑体_GBK" w:cs="宋体" w:hAnsi="Times New Roman" w:hint="eastAsia"/>
                <w:sz w:val="28"/>
                <w:szCs w:val="28"/>
              </w:rPr>
              <w:t>材料类型</w:t>
            </w:r>
          </w:p>
        </w:tc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方正黑体_GBK" w:cs="宋体" w:hAnsi="Times New Roman"/>
                <w:sz w:val="28"/>
                <w:szCs w:val="28"/>
              </w:rPr>
            </w:pPr>
            <w:r>
              <w:rPr>
                <w:rFonts w:ascii="Times New Roman" w:eastAsia="方正黑体_GBK" w:cs="宋体" w:hAnsi="Times New Roman" w:hint="eastAsia"/>
                <w:sz w:val="28"/>
                <w:szCs w:val="28"/>
              </w:rPr>
              <w:t>来源渠道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方正黑体_GBK" w:cs="宋体" w:hAnsi="Times New Roman"/>
                <w:sz w:val="28"/>
                <w:szCs w:val="28"/>
              </w:rPr>
            </w:pPr>
            <w:r>
              <w:rPr>
                <w:rFonts w:ascii="Times New Roman" w:eastAsia="方正黑体_GBK" w:cs="宋体" w:hAnsi="Times New Roman" w:hint="eastAsia"/>
                <w:sz w:val="28"/>
                <w:szCs w:val="28"/>
              </w:rPr>
              <w:t>材料份数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方正黑体_GBK" w:cs="宋体" w:hAnsi="Times New Roman"/>
                <w:sz w:val="28"/>
                <w:szCs w:val="28"/>
              </w:rPr>
            </w:pPr>
            <w:r>
              <w:rPr>
                <w:rFonts w:ascii="Times New Roman" w:eastAsia="方正黑体_GBK" w:cs="宋体" w:hAnsi="Times New Roman" w:hint="eastAsia"/>
                <w:sz w:val="28"/>
                <w:szCs w:val="28"/>
              </w:rPr>
              <w:t>材料必要性</w:t>
            </w:r>
          </w:p>
        </w:tc>
      </w:tr>
      <w:tr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企业进出口计划</w:t>
            </w:r>
          </w:p>
        </w:tc>
        <w:tc>
          <w:tcPr>
            <w:tcW w:w="1098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无</w:t>
            </w:r>
          </w:p>
        </w:tc>
        <w:tc>
          <w:tcPr>
            <w:tcW w:w="1742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原件</w:t>
            </w:r>
          </w:p>
        </w:tc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申请人自备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电子版1份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必要</w:t>
            </w:r>
          </w:p>
        </w:tc>
      </w:tr>
      <w:tr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商品描述</w:t>
            </w:r>
          </w:p>
        </w:tc>
        <w:tc>
          <w:tcPr>
            <w:tcW w:w="1098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方正仿宋_GBK" w:eastAsia="方正仿宋_GBK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无</w:t>
            </w:r>
          </w:p>
        </w:tc>
        <w:tc>
          <w:tcPr>
            <w:tcW w:w="1742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原件</w:t>
            </w:r>
          </w:p>
        </w:tc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申请人自备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电子版1份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必要</w:t>
            </w:r>
          </w:p>
        </w:tc>
      </w:tr>
      <w:tr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《中华人民共和国海关预裁定申请书》</w:t>
            </w:r>
          </w:p>
        </w:tc>
        <w:tc>
          <w:tcPr>
            <w:tcW w:w="1098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见附件</w:t>
            </w:r>
          </w:p>
        </w:tc>
        <w:tc>
          <w:tcPr>
            <w:tcW w:w="1742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原件</w:t>
            </w:r>
          </w:p>
        </w:tc>
        <w:tc>
          <w:tcPr>
            <w:tcW w:w="1420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申请人自备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/>
                <w:kern w:val="0"/>
                <w:sz w:val="32"/>
                <w:szCs w:val="32"/>
              </w:rPr>
              <w:t>电子版1份</w:t>
            </w:r>
          </w:p>
        </w:tc>
        <w:tc>
          <w:tcPr>
            <w:tcW w:w="1421" w:type="dxa"/>
          </w:tcPr>
          <w:p>
            <w:pPr>
              <w:widowControl/>
              <w:spacing w:before="100" w:beforeAutospacing="1" w:after="100" w:afterAutospacing="1"/>
              <w:jc w:val="left"/>
              <w:rPr>
                <w:rFonts w:ascii="Times New Roman" w:eastAsia="方正黑体_GBK" w:cs="宋体" w:hAnsi="Times New Roman"/>
                <w:sz w:val="32"/>
                <w:szCs w:val="32"/>
              </w:rPr>
            </w:pPr>
            <w:r>
              <w:rPr>
                <w:rFonts w:ascii="方正仿宋_GBK" w:eastAsia="方正仿宋_GBK" w:cs="宋体" w:hint="eastAsia"/>
                <w:kern w:val="0"/>
                <w:sz w:val="32"/>
                <w:szCs w:val="32"/>
              </w:rPr>
              <w:t>必要</w:t>
            </w:r>
          </w:p>
        </w:tc>
      </w:tr>
    </w:tbl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</w:p>
    <w:p>
      <w:pPr>
        <w:widowControl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十三、办理流程：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见下图</w:t>
      </w:r>
    </w:p>
    <w:p>
      <w:pPr>
        <w:widowControl/>
        <w:spacing w:before="100" w:beforeAutospacing="1" w:after="100" w:afterAutospacing="1"/>
        <w:jc w:val="center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/>
          <w:kern w:val="0"/>
          <w:sz w:val="32"/>
          <w:szCs w:val="32"/>
        </w:rPr>
        <w:drawing>
          <wp:inline distT="0" distB="0" distL="0" distR="0">
            <wp:extent cx="5274310" cy="2458720"/>
            <wp:effectExtent l="0" t="0" r="0" b="0"/>
            <wp:docPr id="1" name="图片 1" descr="1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74310" cy="2458720"/>
                    </a:xfrm>
                    <a:prstGeom prst="rect"/>
                    <a:noFill/>
                    <a:ln w="9525" cmpd="sng" cap="flat">
                      <a:noFill/>
                      <a:prstDash val="solid"/>
                      <a:rou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Calibri" w:eastAsia="黑体" w:cs="Calibri" w:hAnsi="Calibri"/>
          <w:kern w:val="0"/>
          <w:sz w:val="32"/>
          <w:szCs w:val="32"/>
        </w:rPr>
        <w:t> </w:t>
      </w:r>
      <w:r>
        <w:rPr>
          <w:rFonts w:ascii="Times New Roman" w:eastAsia="方正黑体_GBK" w:cs="宋体" w:hAnsi="Times New Roman" w:hint="eastAsia"/>
          <w:sz w:val="32"/>
          <w:szCs w:val="32"/>
        </w:rPr>
        <w:t>十四、办理形式：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全程网络无纸化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十五、到办理现场次数：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无需到现场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十六、审查标准：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《预裁定申请书》以及相关申请材料真实、准确、完整、规范、有效，符合十二条所列要求。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十七、通办范围：</w:t>
      </w:r>
      <w:r>
        <w:rPr>
          <w:rFonts w:ascii="方正仿宋_GBK" w:eastAsia="方正仿宋_GBK" w:cs="宋体"/>
          <w:kern w:val="0"/>
          <w:sz w:val="32"/>
          <w:szCs w:val="32"/>
        </w:rPr>
        <w:t>哈尔滨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关区注册企业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十八、预约办理：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无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十九、网上支付：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无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二十、物流快递：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无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二十一、办理地点：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可通过电子口岸“海关事务联系系统”（</w:t>
      </w:r>
      <w:r>
        <w:rPr>
          <w:rFonts w:ascii="宋体" w:eastAsia="宋体" w:cs="宋体" w:hint="eastAsia"/>
          <w:kern w:val="0"/>
          <w:sz w:val="32"/>
          <w:szCs w:val="32"/>
        </w:rPr>
        <w:t>QP</w:t>
      </w:r>
      <w:r>
        <w:rPr>
          <w:rFonts w:ascii="方正仿宋_GBK" w:eastAsia="方正仿宋_GBK" w:cs="宋体" w:hint="eastAsia"/>
          <w:kern w:val="0"/>
          <w:sz w:val="32"/>
          <w:szCs w:val="32"/>
        </w:rPr>
        <w:t>系统）或“互联网</w:t>
      </w:r>
      <w:r>
        <w:rPr>
          <w:rFonts w:ascii="宋体" w:eastAsia="宋体" w:cs="宋体" w:hint="eastAsia"/>
          <w:kern w:val="0"/>
          <w:sz w:val="32"/>
          <w:szCs w:val="32"/>
        </w:rPr>
        <w:t>+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海关”(http://online.customs.gov.cn/)提交《预裁定申请书》以及相关材料。</w:t>
      </w:r>
    </w:p>
    <w:p>
      <w:pPr>
        <w:widowControl/>
        <w:spacing w:before="100" w:beforeAutospacing="1" w:after="100" w:afterAutospacing="1"/>
        <w:jc w:val="left"/>
        <w:rPr>
          <w:rFonts w:ascii="Times New Roman" w:eastAsia="方正黑体_GBK" w:cs="宋体" w:hAnsi="Times New Roman"/>
          <w:sz w:val="32"/>
          <w:szCs w:val="32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二十二、办理时间：</w:t>
      </w:r>
    </w:p>
    <w:p>
      <w:pPr>
        <w:widowControl/>
        <w:spacing w:before="100" w:beforeAutospacing="1" w:after="100" w:afterAutospacing="1"/>
        <w:jc w:val="left"/>
        <w:rPr>
          <w:rFonts w:ascii="宋体" w:eastAsia="宋体" w:cs="宋体"/>
          <w:color w:val="545454"/>
          <w:kern w:val="0"/>
          <w:sz w:val="24"/>
          <w:szCs w:val="24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企业申请时间：</w:t>
      </w:r>
      <w:r>
        <w:rPr>
          <w:rFonts w:ascii="宋体" w:eastAsia="宋体" w:cs="宋体" w:hint="eastAsia"/>
          <w:kern w:val="0"/>
          <w:sz w:val="32"/>
          <w:szCs w:val="32"/>
        </w:rPr>
        <w:t>24</w:t>
      </w:r>
      <w:r>
        <w:rPr>
          <w:rFonts w:ascii="方正仿宋_GBK" w:eastAsia="方正仿宋_GBK" w:cs="宋体" w:hint="eastAsia"/>
          <w:kern w:val="0"/>
          <w:sz w:val="32"/>
          <w:szCs w:val="32"/>
        </w:rPr>
        <w:t>小时</w:t>
      </w:r>
      <w:r>
        <w:rPr>
          <w:rFonts w:ascii="Calibri" w:eastAsia="方正黑体_GBK" w:cs="Calibri" w:hAnsi="Calibri"/>
          <w:kern w:val="0"/>
          <w:sz w:val="32"/>
          <w:szCs w:val="32"/>
        </w:rPr>
        <w:t>     </w:t>
      </w:r>
    </w:p>
    <w:p>
      <w:pPr>
        <w:widowControl/>
        <w:spacing w:before="100" w:beforeAutospacing="1" w:after="100" w:afterAutospacing="1"/>
        <w:jc w:val="left"/>
        <w:rPr>
          <w:rFonts w:ascii="方正仿宋_GBK" w:eastAsia="方正仿宋_GBK" w:cs="宋体"/>
          <w:kern w:val="0"/>
          <w:sz w:val="32"/>
          <w:szCs w:val="32"/>
        </w:rPr>
      </w:pPr>
      <w:r>
        <w:rPr>
          <w:rFonts w:ascii="方正仿宋_GBK" w:eastAsia="方正仿宋_GBK" w:cs="宋体" w:hint="eastAsia"/>
          <w:kern w:val="0"/>
          <w:sz w:val="32"/>
          <w:szCs w:val="32"/>
        </w:rPr>
        <w:t>海关审核时间：周一至周五</w:t>
      </w:r>
      <w:r>
        <w:rPr>
          <w:rFonts w:ascii="宋体" w:eastAsia="宋体" w:cs="宋体"/>
          <w:kern w:val="0"/>
          <w:sz w:val="32"/>
          <w:szCs w:val="32"/>
        </w:rPr>
        <w:t>8</w:t>
      </w:r>
      <w:r>
        <w:rPr>
          <w:rFonts w:ascii="宋体" w:eastAsia="宋体" w:cs="宋体" w:hint="eastAsia"/>
          <w:kern w:val="0"/>
          <w:sz w:val="32"/>
          <w:szCs w:val="32"/>
        </w:rPr>
        <w:t>:</w:t>
      </w:r>
      <w:r>
        <w:rPr>
          <w:rFonts w:ascii="宋体" w:eastAsia="宋体" w:cs="宋体"/>
          <w:kern w:val="0"/>
          <w:sz w:val="32"/>
          <w:szCs w:val="32"/>
        </w:rPr>
        <w:t>3</w:t>
      </w:r>
      <w:r>
        <w:rPr>
          <w:rFonts w:ascii="宋体" w:eastAsia="宋体" w:cs="宋体" w:hint="eastAsia"/>
          <w:kern w:val="0"/>
          <w:sz w:val="32"/>
          <w:szCs w:val="32"/>
        </w:rPr>
        <w:t>0-1</w:t>
      </w:r>
      <w:r>
        <w:rPr>
          <w:rFonts w:ascii="宋体" w:eastAsia="宋体" w:cs="宋体"/>
          <w:kern w:val="0"/>
          <w:sz w:val="32"/>
          <w:szCs w:val="32"/>
        </w:rPr>
        <w:t>1</w:t>
      </w:r>
      <w:r>
        <w:rPr>
          <w:rFonts w:ascii="宋体" w:eastAsia="宋体" w:cs="宋体" w:hint="eastAsia"/>
          <w:kern w:val="0"/>
          <w:sz w:val="32"/>
          <w:szCs w:val="32"/>
        </w:rPr>
        <w:t>:</w:t>
      </w:r>
      <w:r>
        <w:rPr>
          <w:rFonts w:ascii="宋体" w:eastAsia="宋体" w:cs="宋体"/>
          <w:kern w:val="0"/>
          <w:sz w:val="32"/>
          <w:szCs w:val="32"/>
        </w:rPr>
        <w:t>3</w:t>
      </w:r>
      <w:r>
        <w:rPr>
          <w:rFonts w:ascii="宋体" w:eastAsia="宋体" w:cs="宋体" w:hint="eastAsia"/>
          <w:kern w:val="0"/>
          <w:sz w:val="32"/>
          <w:szCs w:val="32"/>
        </w:rPr>
        <w:t>0</w:t>
      </w:r>
      <w:r>
        <w:rPr>
          <w:rFonts w:ascii="方正仿宋_GBK" w:eastAsia="方正仿宋_GBK" w:cs="宋体" w:hint="eastAsia"/>
          <w:kern w:val="0"/>
          <w:sz w:val="32"/>
          <w:szCs w:val="32"/>
        </w:rPr>
        <w:t>；</w:t>
      </w:r>
      <w:r>
        <w:rPr>
          <w:rFonts w:ascii="宋体" w:eastAsia="宋体" w:cs="宋体" w:hint="eastAsia"/>
          <w:kern w:val="0"/>
          <w:sz w:val="32"/>
          <w:szCs w:val="32"/>
        </w:rPr>
        <w:t>1</w:t>
      </w:r>
      <w:r>
        <w:rPr>
          <w:rFonts w:ascii="宋体" w:eastAsia="宋体" w:cs="宋体"/>
          <w:kern w:val="0"/>
          <w:sz w:val="32"/>
          <w:szCs w:val="32"/>
        </w:rPr>
        <w:t>3</w:t>
      </w:r>
      <w:r>
        <w:rPr>
          <w:rFonts w:ascii="宋体" w:eastAsia="宋体" w:cs="宋体" w:hint="eastAsia"/>
          <w:kern w:val="0"/>
          <w:sz w:val="32"/>
          <w:szCs w:val="32"/>
        </w:rPr>
        <w:t>:</w:t>
      </w:r>
      <w:r>
        <w:rPr>
          <w:rFonts w:ascii="宋体" w:eastAsia="宋体" w:cs="宋体"/>
          <w:kern w:val="0"/>
          <w:sz w:val="32"/>
          <w:szCs w:val="32"/>
        </w:rPr>
        <w:t>3</w:t>
      </w:r>
      <w:r>
        <w:rPr>
          <w:rFonts w:ascii="宋体" w:eastAsia="宋体" w:cs="宋体" w:hint="eastAsia"/>
          <w:kern w:val="0"/>
          <w:sz w:val="32"/>
          <w:szCs w:val="32"/>
        </w:rPr>
        <w:t>0-17:</w:t>
      </w:r>
      <w:r>
        <w:rPr>
          <w:rFonts w:ascii="宋体" w:eastAsia="宋体" w:cs="宋体"/>
          <w:kern w:val="0"/>
          <w:sz w:val="32"/>
          <w:szCs w:val="32"/>
        </w:rPr>
        <w:t>0</w:t>
      </w:r>
      <w:r>
        <w:rPr>
          <w:rFonts w:ascii="宋体" w:eastAsia="宋体" w:cs="宋体" w:hint="eastAsia"/>
          <w:kern w:val="0"/>
          <w:sz w:val="32"/>
          <w:szCs w:val="32"/>
        </w:rPr>
        <w:t>0</w:t>
      </w:r>
      <w:r>
        <w:rPr>
          <w:rFonts w:ascii="方正仿宋_GBK" w:eastAsia="方正仿宋_GBK" w:cs="宋体" w:hint="eastAsia"/>
          <w:kern w:val="0"/>
          <w:sz w:val="32"/>
          <w:szCs w:val="32"/>
        </w:rPr>
        <w:t>（法定节假日除外）</w:t>
      </w:r>
    </w:p>
    <w:p>
      <w:pPr>
        <w:widowControl/>
        <w:spacing w:before="100" w:beforeAutospacing="1" w:after="100" w:afterAutospacing="1"/>
        <w:jc w:val="left"/>
        <w:rPr>
          <w:rFonts w:ascii="方正仿宋_GBK" w:eastAsia="方正仿宋_GBK" w:cs="宋体"/>
          <w:kern w:val="0"/>
          <w:sz w:val="32"/>
          <w:szCs w:val="32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二十三、咨询电话：</w:t>
      </w:r>
      <w:r>
        <w:rPr>
          <w:rFonts w:ascii="宋体" w:eastAsia="宋体" w:cs="宋体" w:hint="eastAsia"/>
          <w:kern w:val="0"/>
          <w:sz w:val="32"/>
          <w:szCs w:val="32"/>
        </w:rPr>
        <w:t>12360</w:t>
      </w:r>
      <w:r>
        <w:rPr>
          <w:rFonts w:ascii="方正仿宋_GBK" w:eastAsia="方正仿宋_GBK" w:cs="宋体" w:hint="eastAsia"/>
          <w:kern w:val="0"/>
          <w:sz w:val="32"/>
          <w:szCs w:val="32"/>
        </w:rPr>
        <w:t>海关服务热线</w:t>
      </w:r>
      <w:r>
        <w:rPr>
          <w:rFonts w:ascii="宋体" w:eastAsia="宋体" w:cs="宋体" w:hint="eastAsia"/>
          <w:kern w:val="0"/>
          <w:sz w:val="32"/>
          <w:szCs w:val="32"/>
        </w:rPr>
        <w:t>0</w:t>
      </w:r>
      <w:r>
        <w:rPr>
          <w:rFonts w:ascii="宋体" w:eastAsia="宋体" w:cs="宋体"/>
          <w:kern w:val="0"/>
          <w:sz w:val="32"/>
          <w:szCs w:val="32"/>
        </w:rPr>
        <w:t>451</w:t>
      </w:r>
      <w:r>
        <w:rPr>
          <w:rFonts w:ascii="宋体" w:eastAsia="宋体" w:cs="宋体" w:hint="eastAsia"/>
          <w:kern w:val="0"/>
          <w:sz w:val="32"/>
          <w:szCs w:val="32"/>
        </w:rPr>
        <w:t>-</w:t>
      </w:r>
      <w:r>
        <w:rPr>
          <w:rFonts w:ascii="宋体" w:eastAsia="宋体" w:cs="宋体"/>
          <w:kern w:val="0"/>
          <w:sz w:val="32"/>
          <w:szCs w:val="32"/>
        </w:rPr>
        <w:t>12360</w:t>
      </w:r>
    </w:p>
    <w:p>
      <w:pPr>
        <w:widowControl/>
        <w:spacing w:before="100" w:beforeAutospacing="1" w:after="100" w:afterAutospacing="1"/>
        <w:jc w:val="left"/>
        <w:rPr>
          <w:kern w:val="0"/>
        </w:rPr>
      </w:pPr>
      <w:r>
        <w:rPr>
          <w:rFonts w:ascii="Times New Roman" w:eastAsia="方正黑体_GBK" w:cs="宋体" w:hAnsi="Times New Roman" w:hint="eastAsia"/>
          <w:sz w:val="32"/>
          <w:szCs w:val="32"/>
        </w:rPr>
        <w:t>二十四、监督电话：</w:t>
      </w:r>
      <w:r>
        <w:rPr>
          <w:rFonts w:ascii="方正仿宋_GBK" w:eastAsia="方正仿宋_GBK" w:cs="宋体" w:hint="eastAsia"/>
          <w:kern w:val="0"/>
          <w:sz w:val="32"/>
          <w:szCs w:val="32"/>
        </w:rPr>
        <w:t>12360海关服务热线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等线">
    <w:altName w:val="宋体"/>
    <w:panose1 w:val="00000000000000000000"/>
    <w:charset w:val="86"/>
    <w:family w:val="roman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character" w:default="1" w:styleId="10">
    <w:name w:val="Default Paragraph Font"/>
  </w:style>
  <w:style w:type="paragraph" w:styleId="15">
    <w:name w:val="Normal (Web)"/>
    <w:basedOn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paragraph" w:styleId="16">
    <w:name w:val="index 5"/>
    <w:basedOn w:val="0"/>
    <w:autoRedefine/>
    <w:next w:val="0"/>
    <w:pPr>
      <w:ind w:left="1680"/>
    </w:pPr>
  </w:style>
  <w:style w:type="paragraph" w:styleId="17">
    <w:name w:val="index 9"/>
    <w:basedOn w:val="0"/>
    <w:autoRedefine/>
    <w:next w:val="0"/>
    <w:pPr>
      <w:ind w:left="3360"/>
    </w:pPr>
  </w:style>
  <w:style w:type="paragraph" w:styleId="18">
    <w:name w:val="toc 3"/>
    <w:basedOn w:val="0"/>
    <w:autoRedefine/>
    <w:next w:val="0"/>
    <w:pPr>
      <w:ind w:left="840"/>
    </w:pPr>
  </w:style>
  <w:style w:type="paragraph" w:styleId="19">
    <w:name w:val="toc 4"/>
    <w:basedOn w:val="0"/>
    <w:autoRedefine/>
    <w:next w:val="0"/>
    <w:pPr>
      <w:ind w:left="1260"/>
    </w:pPr>
  </w:style>
  <w:style w:type="paragraph" w:styleId="20">
    <w:name w:val="toc 5"/>
    <w:basedOn w:val="0"/>
    <w:autoRedefine/>
    <w:next w:val="0"/>
    <w:pPr>
      <w:ind w:left="1680"/>
    </w:pPr>
  </w:style>
  <w:style w:type="paragraph" w:customStyle="1" w:styleId="21">
    <w:name w:val="样式 10 磅"/>
    <w:next w:val="35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22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3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4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5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6">
    <w:name w:val="样式 4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7">
    <w:name w:val="样式 1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lang w:val="en-US" w:eastAsia="zh-CN" w:bidi="ar-SA"/>
    </w:rPr>
  </w:style>
  <w:style w:type="paragraph" w:customStyle="1" w:styleId="28">
    <w:name w:val="样式 5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29">
    <w:name w:val="样式 2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0">
    <w:name w:val="样式 6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31">
    <w:name w:val="样式 7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32">
    <w:name w:val="样式 8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33">
    <w:name w:val="样式 9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34">
    <w:name w:val="样式 10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paragraph" w:customStyle="1" w:styleId="35">
    <w:name w:val="样式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6">
    <w:name w:val="样式 3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7">
    <w:name w:val="样式 4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customStyle="1" w:styleId="38">
    <w:name w:val="样式 5 10 磅"/>
    <w:pPr>
      <w:widowControl w:val="0"/>
      <w:jc w:val="both"/>
    </w:pPr>
    <w:rPr>
      <w:rFonts w:ascii="等线" w:eastAsia="等线" w:cs="Arial"/>
      <w:kern w:val="2"/>
      <w:sz w:val="21"/>
      <w:szCs w:val="22"/>
      <w:lang w:val="en-US" w:eastAsia="zh-CN" w:bidi="ar-SA"/>
    </w:rPr>
  </w:style>
  <w:style w:type="paragraph" w:styleId="39">
    <w:name w:val="Balloon Text"/>
    <w:basedOn w:val="0"/>
    <w:rPr>
      <w:sz w:val="18"/>
      <w:szCs w:val="18"/>
    </w:rPr>
  </w:style>
  <w:style w:type="paragraph" w:styleId="40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1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1099</TotalTime>
  <Application>Yozo_Office</Application>
  <Pages>5</Pages>
  <Words>930</Words>
  <Characters>1006</Characters>
  <Lines>94</Lines>
  <Paragraphs>58</Paragraphs>
  <CharactersWithSpaces>1013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妍 妍</dc:creator>
  <cp:lastModifiedBy>贾若</cp:lastModifiedBy>
  <cp:revision>4</cp:revision>
  <dcterms:created xsi:type="dcterms:W3CDTF">2019-11-28T07:23:00Z</dcterms:created>
  <dcterms:modified xsi:type="dcterms:W3CDTF">2020-06-12T03:21:16Z</dcterms:modified>
</cp:coreProperties>
</file>