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比选采购需求书</w:t>
      </w:r>
    </w:p>
    <w:tbl>
      <w:tblPr>
        <w:jc w:val="lef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3"/>
        <w:gridCol w:w="6549"/>
      </w:tblGrid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基础信息栏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549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二连浩特国际旅行卫生保健中心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试剂耗材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采购项目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采购预算</w:t>
            </w:r>
          </w:p>
        </w:tc>
        <w:tc>
          <w:tcPr>
            <w:tcW w:w="6549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85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00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（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全年累计采购量</w:t>
            </w:r>
            <w:r>
              <w:rPr>
                <w:rFonts w:ascii="方正仿宋_GBK" w:eastAsia="方正仿宋_GBK" w:cs="方正仿宋_GBK" w:hint="eastAsia"/>
                <w:sz w:val="28"/>
                <w:szCs w:val="28"/>
                <w:lang w:eastAsia="zh-CN"/>
              </w:rPr>
              <w:t>）</w:t>
            </w:r>
          </w:p>
        </w:tc>
      </w:tr>
      <w:t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评审方法</w:t>
            </w:r>
          </w:p>
        </w:tc>
        <w:tc>
          <w:tcPr>
            <w:tcW w:w="6549" w:type="dxa"/>
            <w:vAlign w:val="center"/>
          </w:tcPr>
          <w:p>
            <w:pPr>
              <w:pStyle w:val="27"/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F052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最低价法</w:t>
            </w:r>
          </w:p>
          <w:p>
            <w:pPr>
              <w:spacing w:line="40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sym w:font="Wingdings 2" w:char="A3"/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综合评分法（权重：价格XX%、评审因素XX%）</w:t>
            </w:r>
          </w:p>
        </w:tc>
      </w:tr>
      <w:tr>
        <w:tc>
          <w:tcPr>
            <w:tcW w:w="852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楷体_GBK" w:eastAsia="方正楷体_GBK" w:cs="方正楷体_GBK" w:hint="eastAsia"/>
                <w:sz w:val="32"/>
                <w:szCs w:val="32"/>
              </w:rPr>
              <w:t>详细需求栏</w:t>
            </w:r>
          </w:p>
        </w:tc>
      </w:tr>
      <w:tr>
        <w:trPr>
          <w:trHeight w:val="7439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说明</w:t>
            </w:r>
          </w:p>
        </w:tc>
        <w:tc>
          <w:tcPr>
            <w:tcW w:w="6549" w:type="dxa"/>
            <w:vAlign w:val="center"/>
          </w:tcPr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1.不满足资格条件的响应文件将按无效响应文件处理。</w:t>
            </w:r>
          </w:p>
          <w:p>
            <w:pPr>
              <w:spacing w:line="400" w:lineRule="exac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2.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 xml:space="preserve">详细需求栏中所有加“★”项的需求均为实质性要求，不满足实质性要求的响应文件将按无效响应文件处理。 </w:t>
            </w:r>
          </w:p>
          <w:p>
            <w:pPr>
              <w:spacing w:line="40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注：本采购项目为固定单价采购模式，比价方式以各项试剂单价总和进行比价，采购清单以实际发生量乘以</w:t>
            </w:r>
            <w:r>
              <w:rPr>
                <w:rFonts w:ascii="方正仿宋_GBK" w:eastAsia="方正仿宋_GBK" w:cs="方正仿宋_GBK"/>
                <w:sz w:val="28"/>
                <w:szCs w:val="28"/>
              </w:rPr>
              <w:t>供货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方投标单价进行结算，总额不超过预算资金。</w:t>
            </w:r>
          </w:p>
        </w:tc>
      </w:tr>
      <w:tr>
        <w:trPr>
          <w:trHeight w:val="7815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</w:t>
            </w:r>
          </w:p>
        </w:tc>
        <w:tc>
          <w:tcPr>
            <w:tcW w:w="6549" w:type="dxa"/>
            <w:vAlign w:val="center"/>
          </w:tcPr>
          <w:p>
            <w:pPr>
              <w:pStyle w:val="44"/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1.具有独立承担民事责任的能力。</w:t>
            </w:r>
          </w:p>
          <w:p>
            <w:pPr>
              <w:snapToGrid w:val="0"/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2. 供应商须具有投标产品的医疗器械分类等级对应的《医疗器械经营许可证》或《医疗器械生产备案凭证》、《药品经营许可证》；供应商是生产企业的需提供《医疗器械生产许可证》、《药品生产许可证》。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3.能够提供不低于国家相关法律法规要求的质量保证。</w:t>
            </w:r>
          </w:p>
          <w:p>
            <w:pPr>
              <w:spacing w:line="40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4.能够及时提供售后服务。</w:t>
            </w:r>
          </w:p>
          <w:p>
            <w:pPr>
              <w:snapToGrid w:val="0"/>
              <w:spacing w:line="40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5.试剂的规格符合要求。</w:t>
            </w:r>
          </w:p>
        </w:tc>
      </w:tr>
      <w:tr>
        <w:trPr>
          <w:trHeight w:val="5213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</w:tc>
        <w:tc>
          <w:tcPr>
            <w:tcW w:w="6549" w:type="dxa"/>
          </w:tcPr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检测试剂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采购需求：</w:t>
            </w:r>
          </w:p>
          <w:p>
            <w:pPr>
              <w:pStyle w:val="45"/>
              <w:numPr>
                <w:ilvl w:val="0"/>
                <w:numId w:val="1"/>
              </w:numPr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试剂种类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见附表</w:t>
            </w:r>
          </w:p>
          <w:p>
            <w:pPr>
              <w:numPr>
                <w:ilvl w:val="0"/>
                <w:numId w:val="2"/>
              </w:numPr>
              <w:spacing w:line="360" w:lineRule="exact"/>
              <w:ind w:left="385"/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★供应药字试剂，需要具有药品经营许可证；</w:t>
            </w:r>
          </w:p>
          <w:p>
            <w:pPr>
              <w:numPr>
                <w:ilvl w:val="0"/>
                <w:numId w:val="2"/>
              </w:numPr>
              <w:spacing w:line="360" w:lineRule="exact"/>
              <w:ind w:left="385"/>
              <w:jc w:val="left"/>
              <w:rPr>
                <w:rFonts w:ascii="方正仿宋_GBK" w:eastAsia="方正仿宋_GBK" w:cs="方正仿宋_GBK" w:hint="eastAsia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满足备注中提供仪器型号的适配试剂；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8"/>
                <w:szCs w:val="28"/>
              </w:rPr>
              <w:t>二、付款条件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：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 xml:space="preserve"> 验收合格后，以实际供货数量为准结算，试剂耗材交货并经采购方验收合格一个月内付该批次全款，采购方付款前需要供货方开具发票、收据等结算材料。</w:t>
            </w:r>
          </w:p>
          <w:p>
            <w:pPr>
              <w:pStyle w:val="45"/>
              <w:spacing w:line="36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三、供货方式：</w:t>
            </w:r>
          </w:p>
          <w:p>
            <w:pPr>
              <w:spacing w:line="360" w:lineRule="exact"/>
              <w:ind w:firstLineChars="200" w:firstLine="772"/>
              <w:rPr>
                <w:rFonts w:ascii="Times New Roman" w:eastAsia="方正仿宋_GBK" w:cs="Times New Roman" w:hAnsi="Times New Roman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合同签订后，按采购方每批计划和供货通知的要求，供货方必须按照服务承诺将试剂运至采购方指定地点，由采购方负责验收。费用由供货方承担。</w:t>
            </w:r>
          </w:p>
          <w:p>
            <w:pPr>
              <w:spacing w:line="360" w:lineRule="exact"/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kern w:val="2"/>
                <w:sz w:val="28"/>
                <w:szCs w:val="28"/>
                <w:lang w:val="en-US" w:eastAsia="zh-CN" w:bidi="ar-SA"/>
              </w:rPr>
              <w:t>四、</w:t>
            </w: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产品质保期：</w:t>
            </w:r>
          </w:p>
          <w:p>
            <w:pPr>
              <w:spacing w:line="360" w:lineRule="exact"/>
              <w:ind w:left="0" w:firstLineChars="200" w:firstLine="772"/>
              <w:rPr>
                <w:rStyle w:val="40Char"/>
                <w:rFonts w:ascii="Times New Roman" w:eastAsia="方正仿宋_GBK" w:cs="Times New Roman" w:hAnsi="Times New Roman" w:hint="eastAsia"/>
                <w:sz w:val="28"/>
                <w:szCs w:val="28"/>
              </w:rPr>
            </w:pPr>
            <w:r>
              <w:rPr>
                <w:rFonts w:ascii="Times New Roman" w:eastAsia="方正仿宋_GBK" w:cs="Times New Roman" w:hAnsi="Times New Roman" w:hint="eastAsia"/>
                <w:sz w:val="28"/>
                <w:szCs w:val="28"/>
              </w:rPr>
              <w:t>不少于产品有效期的70%，如因特殊情况需调换效期，供货方需配合调换。产品在有效期内正常使用中出现故障，由供货方免费更换。</w:t>
            </w:r>
          </w:p>
        </w:tc>
      </w:tr>
      <w:tr>
        <w:trPr>
          <w:trHeight w:val="699"/>
        </w:trPr>
        <w:tc>
          <w:tcPr>
            <w:tcW w:w="1973" w:type="dxa"/>
            <w:vAlign w:val="center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</w:tc>
        <w:tc>
          <w:tcPr>
            <w:tcW w:w="6549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评审方法按照最低价法</w:t>
            </w:r>
          </w:p>
        </w:tc>
      </w:tr>
    </w:tbl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tbl>
      <w:tblPr>
        <w:jc w:val="left"/>
        <w:tblInd w:w="93" w:type="dxa"/>
        <w:tblW w:w="83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auto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200"/>
        <w:gridCol w:w="1638"/>
        <w:gridCol w:w="1419"/>
        <w:gridCol w:w="1256"/>
      </w:tblGrid>
      <w:tr>
        <w:trPr>
          <w:trHeight w:val="28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货物名称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规格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ascii="宋体" w:eastAsia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单位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ascii="宋体" w:cs="宋体" w:hint="eastAsia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</w:t>
            </w:r>
          </w:p>
        </w:tc>
      </w:tr>
      <w:tr>
        <w:trPr>
          <w:trHeight w:val="51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谷丙转氨酶(ALT)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  <w:br/>
              <w:t>R2:45ml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谷草转氨酶(AST)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谷氨酰转肽酶(GGT)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碱性磷酸酶(ALP)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总胆红素(TB)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直接胆红素(DB)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总蛋白(TP)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R2:60ml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460"/>
        </w:trPr>
        <w:tc>
          <w:tcPr>
            <w:tcW w:w="878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白蛋白(ALB)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60ml*4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2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血糖(GLU)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甘油三酯(TG)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130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胆固醇(CHO)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尿酸(UA)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尿素(BUN)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R2:45ml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5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肌酐CRE)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3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高密度脂蛋白胆固醇(HDL-C)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3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R2:60ml</w:t>
            </w: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/>
        </w:tc>
      </w:tr>
      <w:tr>
        <w:trPr>
          <w:trHeight w:val="51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低密度脂蛋白胆固醇(LDL-C)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R1:60ml*3</w:t>
              <w:br/>
              <w:t>R2:60ml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同型半光氨酸（HCY）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200测试X2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糖化血红蛋白（HbA1c)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R1:45ml</w:t>
              <w:br/>
              <w:t>R2:15ml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糖化血红蛋白校准品（定标物）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0.5mlx4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糖化血红蛋白质控品水平1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乳酸脱氢酶(LDH)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200测试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1925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Arial" w:eastAsia="宋体" w:cs="Arial" w:hAnsi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Arial" w:eastAsia="宋体" w:cs="Arial" w:hAnsi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ɑ</w:t>
            </w:r>
            <w:r>
              <w:rPr>
                <w:rStyle w:val="46"/>
                <w:lang w:val="en-US" w:eastAsia="zh-CN"/>
              </w:rPr>
              <w:t>-羟丁酸脱氢酶(ɑ-HBDH)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200测试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肌酸激酶(CK)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R1:40mlx2</w:t>
              <w:br/>
              <w:t>R2:10mlx2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肌酸激酶同工酶(CK-MB)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ascii="仿宋" w:eastAsia="仿宋" w:cs="仿宋" w:hint="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ascii="仿宋" w:eastAsia="仿宋" w:cs="仿宋" w:hint="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/>
              </w:rPr>
              <w:t>R1:40mlx2</w:t>
              <w:br/>
              <w:t>R2:10mlx2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肌酸激酶校准品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1.0ml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肌酸激酶质控品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2.0ml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生化复合质控低值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生化复合质控中值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生化复合质控高值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7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生化复合定标液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11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甲胎蛋白检测试剂盒AFP(化学发光法)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100测试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8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癌胚抗原定量测定试剂盒CEA(化学发光法)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100测试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三碘甲状腺原氨酸检测试剂盒(T3)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200测试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202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促甲状腺激素检测试剂盒(TSH)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200测试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6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甲状腺素检测试剂盒(T4)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200测试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6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AFP定标液(1支)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4x1.0ml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6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37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CEA 定标液(1支)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4x1.0ml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54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38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三碘甲状腺原氨酸定标液(T3)(1支)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4x1.0ml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8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39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促甲状腺素定标液(TSH)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4x1. 3m1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6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40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甲状腺素定标液(T4)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4x1.0ml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6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41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分析吸头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30x120个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42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分析杯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60x60个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箱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6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43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三丙胺缓冲液(ProCel1)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6x380m1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6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44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缓冲液(CleanCell)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6x380m1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40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45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清洗液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5*100m1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>
        <w:trPr>
          <w:trHeight w:val="360"/>
        </w:trPr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46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清洗液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1*500m1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eastAsia="宋体" w:cs="宋体" w:hint="eastAsia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2168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楷体_GBK">
    <w:panose1 w:val="02000000000000000000"/>
    <w:charset w:val="86"/>
    <w:family w:val="script"/>
    <w:pitch w:val="variable"/>
    <w:sig w:usb0="800002BF" w:usb1="38CF7CFA" w:usb2="00000016" w:usb3="00000000" w:csb0="00040000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Wingdings 2">
    <w:altName w:val="Wingdings"/>
    <w:panose1 w:val="05020102010507070707"/>
    <w:charset w:val="02"/>
    <w:family w:val="roman"/>
    <w:pitch w:val="variable"/>
    <w:sig w:usb0="00000000" w:usb1="0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21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4</w:t>
    </w:r>
    <w:r>
      <w:rPr>
        <w:sz w:val="32"/>
        <w:szCs w:val="32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A5CBAB3"/>
    <w:multiLevelType w:val="singleLevel"/>
    <w:tmpl w:val="0A5CBAB3"/>
    <w:lvl w:ilvl="0">
      <w:start w:val="1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abstractNum w:abstractNumId="1">
    <w:nsid w:val="24A5063D"/>
    <w:multiLevelType w:val="singleLevel"/>
    <w:tmpl w:val="24A5063D"/>
    <w:lvl w:ilvl="0">
      <w:start w:val="1"/>
      <w:numFmt w:val="decimal"/>
      <w:lvlRestart w:val="0"/>
      <w:suff w:val="nothing"/>
      <w:lvlText w:val="%1、"/>
      <w:lvlJc w:val="left"/>
      <w:pPr>
        <w:ind w:left="385" w:hanging="0"/>
      </w:pPr>
    </w:lvl>
  </w:abstractNum>
  <w:abstractNum w:abstractNumId="2">
    <w:nsid w:val="2372C850"/>
    <w:multiLevelType w:val="singleLevel"/>
    <w:tmpl w:val="2372C850"/>
    <w:lvl w:ilvl="0">
      <w:start w:val="1"/>
      <w:numFmt w:val="decimal"/>
      <w:lvlRestart w:val="0"/>
      <w:pStyle w:val="16"/>
      <w:lvlText w:val="%1."/>
      <w:lvlJc w:val="left"/>
      <w:pPr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6"/>
  <w:doNotDisplayPageBoundaries/>
  <w:displayBackgroundShape/>
  <w:bordersDoNotSurroundHeader w:val="0"/>
  <w:bordersDoNotSurroundFooter w:val="0"/>
  <w:trackRevisions/>
  <w:defaultTabStop w:val="420"/>
  <w:drawingGridHorizontalSpacing w:val="157"/>
  <w:drawingGridVerticalSpacing w:val="289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line="560" w:lineRule="exact"/>
      <w:jc w:val="center"/>
      <w:outlineLvl w:val="0"/>
    </w:pPr>
    <w:rPr>
      <w:rFonts w:eastAsia="方正小标宋_GBK"/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rFonts w:eastAsia="方正楷体_GBK"/>
      <w:b/>
      <w:sz w:val="32"/>
    </w:rPr>
  </w:style>
  <w:style w:type="character" w:default="1" w:styleId="10">
    <w:name w:val="Default Paragraph Font"/>
  </w:style>
  <w:style w:type="paragraph" w:styleId="15">
    <w:name w:val="table of authorities"/>
    <w:basedOn w:val="0"/>
    <w:next w:val="0"/>
    <w:pPr>
      <w:ind w:left="420"/>
    </w:pPr>
  </w:style>
  <w:style w:type="paragraph" w:styleId="16">
    <w:name w:val="List Number"/>
    <w:basedOn w:val="0"/>
    <w:pPr>
      <w:numPr>
        <w:ilvl w:val="0"/>
        <w:numId w:val="3"/>
      </w:numPr>
    </w:pPr>
  </w:style>
  <w:style w:type="paragraph" w:styleId="17">
    <w:name w:val="caption"/>
    <w:next w:val="0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styleId="18">
    <w:name w:val="annotation text"/>
    <w:basedOn w:val="0"/>
    <w:pPr>
      <w:jc w:val="left"/>
    </w:pPr>
  </w:style>
  <w:style w:type="paragraph" w:styleId="19">
    <w:name w:val="toc 5"/>
    <w:basedOn w:val="0"/>
    <w:autoRedefine/>
    <w:next w:val="0"/>
    <w:pPr>
      <w:ind w:left="1680"/>
    </w:pPr>
  </w:style>
  <w:style w:type="paragraph" w:styleId="20">
    <w:name w:val="Balloon Text"/>
    <w:basedOn w:val="0"/>
    <w:rPr>
      <w:sz w:val="18"/>
      <w:szCs w:val="18"/>
    </w:rPr>
  </w:style>
  <w:style w:type="paragraph" w:styleId="21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styleId="2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character" w:styleId="23">
    <w:name w:val="page number"/>
    <w:basedOn w:val="10"/>
  </w:style>
  <w:style w:type="character" w:styleId="24">
    <w:name w:val="annotation reference"/>
    <w:basedOn w:val="10"/>
    <w:rPr>
      <w:sz w:val="21"/>
      <w:szCs w:val="21"/>
    </w:rPr>
  </w:style>
  <w:style w:type="paragraph" w:customStyle="1" w:styleId="25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8 10 磅"/>
    <w:next w:val="19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1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7 10 磅"/>
    <w:pPr>
      <w:widowControl w:val="0"/>
      <w:jc w:val="both"/>
    </w:pPr>
    <w:rPr>
      <w:rFonts w:ascii="Arial" w:eastAsia="黑体" w:cs="Arial" w:hAnsi="Arial"/>
      <w:b/>
      <w:bCs/>
      <w:kern w:val="2"/>
      <w:lang w:val="en-US" w:eastAsia="zh-CN" w:bidi="ar-SA"/>
    </w:rPr>
  </w:style>
  <w:style w:type="paragraph" w:customStyle="1" w:styleId="35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28 10 磅"/>
    <w:next w:val="15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10 10 磅"/>
    <w:next w:val="32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9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2 10 磅"/>
    <w:link w:val="40Char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40Char">
    <w:name w:val="样式 12 10 磅 Char"/>
    <w:basedOn w:val="10"/>
    <w:link w:val="40"/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33 10 磅"/>
    <w:next w:val="16"/>
    <w:pPr>
      <w:widowControl w:val="0"/>
      <w:ind w:firstLineChars="200" w:firstLine="200"/>
      <w:jc w:val="both"/>
    </w:pPr>
    <w:rPr>
      <w:rFonts w:ascii="Calibri" w:eastAsia="宋体" w:cs="Times New Roman" w:hAnsi="Calibri"/>
      <w:kern w:val="2"/>
      <w:sz w:val="21"/>
      <w:szCs w:val="22"/>
      <w:lang w:val="en-US" w:eastAsia="zh-CN" w:bidi="ar-SA"/>
    </w:rPr>
  </w:style>
  <w:style w:type="paragraph" w:customStyle="1" w:styleId="4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customStyle="1" w:styleId="46">
    <w:name w:val="font01"/>
    <w:basedOn w:val="10"/>
    <w:rPr>
      <w:rFonts w:asci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Yozo_Office</Application>
  <Pages>7</Pages>
  <Words>1204</Words>
  <Characters>1743</Characters>
  <Lines>338</Lines>
  <Paragraphs>233</Paragraphs>
  <CharactersWithSpaces>1754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杨璐</dc:creator>
  <cp:lastModifiedBy>付玮</cp:lastModifiedBy>
  <cp:revision>5</cp:revision>
  <cp:lastPrinted>2025-08-11T09:46:00Z</cp:lastPrinted>
  <dcterms:created xsi:type="dcterms:W3CDTF">2025-08-08T09:37:00Z</dcterms:created>
  <dcterms:modified xsi:type="dcterms:W3CDTF">2026-09-08T02:00:42Z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TemplateDocerSaveRecord">
    <vt:lpwstr>eyJoZGlkIjoiYWU5OGI4MmI0NzAwMTkzNjYzYTBhYzYyNWYzZTc0ZTkiLCJ1c2VySWQiOiI3NjY4NTA5MDcifQ==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2D40E962D8B94A14B8E7633E6A101363_13</vt:lpwstr>
  </property>
</Properties>
</file>