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line="560" w:lineRule="exact"/>
        <w:ind w:firstLineChars="0" w:firstLine="0"/>
        <w:jc w:val="center"/>
        <w:rPr>
          <w:rFonts w:ascii="方正仿宋_GBK" w:eastAsia="方正仿宋_GBK" w:cs="方正小标宋简体" w:hint="eastAsia"/>
          <w:color w:val="000000"/>
          <w:sz w:val="44"/>
          <w:lang w:bidi="ar-SA"/>
        </w:rPr>
      </w:pPr>
      <w:bookmarkStart w:id="0" w:name="_Toc36318916"/>
      <w:r>
        <w:rPr>
          <w:rFonts w:ascii="方正小标宋_GBK" w:eastAsia="方正小标宋_GBK" w:cs="方正小标宋简体" w:hint="eastAsia"/>
          <w:color w:val="000000"/>
          <w:sz w:val="44"/>
          <w:lang w:bidi="ar-SA"/>
        </w:rPr>
        <w:t>进出境重大动物疫情应急处置预案</w:t>
      </w:r>
      <w:bookmarkEnd w:id="0"/>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p>
    <w:p>
      <w:pPr>
        <w:pStyle w:val="123"/>
        <w:snapToGrid w:val="0"/>
        <w:spacing w:line="560" w:lineRule="exact"/>
        <w:ind w:firstLineChars="200" w:firstLine="640"/>
        <w:jc w:val="both"/>
        <w:rPr>
          <w:rFonts w:ascii="方正黑体_GBK" w:eastAsia="方正黑体_GBK" w:cs="宋体" w:hint="eastAsia"/>
          <w:b/>
          <w:bCs/>
          <w:color w:val="000000"/>
          <w:sz w:val="32"/>
          <w:szCs w:val="32"/>
          <w:lang w:bidi="ar-SA"/>
        </w:rPr>
      </w:pPr>
      <w:r>
        <w:rPr>
          <w:rFonts w:ascii="Times New Roman" w:eastAsia="方正黑体_GBK" w:cs="Times New Roman" w:hAnsi="Times New Roman"/>
          <w:b/>
          <w:bCs/>
          <w:color w:val="000000"/>
          <w:sz w:val="32"/>
          <w:szCs w:val="32"/>
          <w:lang w:bidi="ar-SA"/>
        </w:rPr>
        <w:t xml:space="preserve">1 </w:t>
      </w:r>
      <w:r>
        <w:rPr>
          <w:rFonts w:ascii="方正黑体_GBK" w:eastAsia="方正黑体_GBK" w:cs="宋体" w:hint="eastAsia"/>
          <w:b/>
          <w:bCs/>
          <w:color w:val="000000"/>
          <w:sz w:val="32"/>
          <w:szCs w:val="32"/>
          <w:lang w:bidi="ar-SA"/>
        </w:rPr>
        <w:t>总则</w:t>
      </w:r>
    </w:p>
    <w:p>
      <w:pPr>
        <w:pStyle w:val="123"/>
        <w:snapToGrid w:val="0"/>
        <w:spacing w:line="560" w:lineRule="exact"/>
        <w:ind w:firstLineChars="200" w:firstLine="640"/>
        <w:jc w:val="both"/>
        <w:rPr>
          <w:rFonts w:ascii="方正楷体_GBK" w:eastAsia="方正楷体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1.1</w:t>
      </w:r>
      <w:r>
        <w:rPr>
          <w:rFonts w:ascii="方正黑体_GBK" w:eastAsia="方正黑体_GBK" w:cs="宋体" w:hint="eastAsia"/>
          <w:bCs/>
          <w:color w:val="000000"/>
          <w:sz w:val="32"/>
          <w:szCs w:val="32"/>
          <w:lang w:bidi="ar-SA"/>
        </w:rPr>
        <w:t xml:space="preserve"> </w:t>
      </w:r>
      <w:r>
        <w:rPr>
          <w:rFonts w:ascii="方正楷体_GBK" w:eastAsia="方正楷体_GBK" w:cs="宋体" w:hint="eastAsia"/>
          <w:b/>
          <w:bCs/>
          <w:color w:val="000000"/>
          <w:sz w:val="32"/>
          <w:szCs w:val="32"/>
          <w:lang w:bidi="ar-SA"/>
        </w:rPr>
        <w:t>目的</w:t>
      </w:r>
    </w:p>
    <w:p>
      <w:pPr>
        <w:pStyle w:val="124"/>
        <w:widowControl/>
        <w:tabs>
          <w:tab w:val="left" w:pos="9180"/>
        </w:tabs>
        <w:snapToGrid w:val="0"/>
        <w:spacing w:before="100" w:beforeAutospacing="1" w:after="100" w:afterAutospacing="1" w:line="560" w:lineRule="exact"/>
        <w:ind w:firstLine="603"/>
        <w:jc w:val="left"/>
        <w:rPr>
          <w:rFonts w:eastAsia="方正仿宋_GBK"/>
          <w:sz w:val="32"/>
        </w:rPr>
      </w:pPr>
      <w:r>
        <w:rPr>
          <w:rFonts w:eastAsia="方正仿宋_GBK"/>
          <w:sz w:val="32"/>
        </w:rPr>
        <w:t>建立、完善进出境重大动物疫情应急处置机制，提高预防和处置口岸重大动物疫情的能力，防止重大动物疫情经口岸传入、传出，保护农、林、牧、渔业生产安全和人体健康，促进对外贸易经济的发展。</w:t>
      </w:r>
    </w:p>
    <w:p>
      <w:pPr>
        <w:pStyle w:val="125"/>
        <w:snapToGrid w:val="0"/>
        <w:spacing w:line="560" w:lineRule="exact"/>
        <w:ind w:firstLineChars="200" w:firstLine="640"/>
        <w:jc w:val="both"/>
        <w:rPr>
          <w:rFonts w:ascii="方正楷体_GBK" w:eastAsia="方正楷体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 xml:space="preserve">1.2 </w:t>
      </w:r>
      <w:r>
        <w:rPr>
          <w:rFonts w:ascii="方正楷体_GBK" w:eastAsia="方正楷体_GBK" w:cs="宋体" w:hint="eastAsia"/>
          <w:b/>
          <w:bCs/>
          <w:color w:val="000000"/>
          <w:sz w:val="32"/>
          <w:szCs w:val="32"/>
          <w:lang w:bidi="ar-SA"/>
        </w:rPr>
        <w:t>适用范围</w:t>
      </w:r>
    </w:p>
    <w:p>
      <w:pPr>
        <w:pStyle w:val="125"/>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本预案适用于对境内外、关区内外发生或流行以及进出境检疫工作中检出或发现重大动物疫情、疑似重大动物疫情的应急处置。</w:t>
      </w:r>
    </w:p>
    <w:p>
      <w:pPr>
        <w:pStyle w:val="126"/>
        <w:snapToGrid w:val="0"/>
        <w:spacing w:line="560" w:lineRule="exact"/>
        <w:ind w:firstLineChars="200" w:firstLine="640"/>
        <w:jc w:val="both"/>
        <w:rPr>
          <w:rFonts w:ascii="方正楷体_GBK" w:eastAsia="方正楷体_GBK" w:cs="宋体" w:hint="eastAsia"/>
          <w:b/>
          <w:bCs/>
          <w:color w:val="000000"/>
          <w:sz w:val="32"/>
          <w:szCs w:val="32"/>
          <w:lang w:bidi="ar-SA"/>
        </w:rPr>
      </w:pPr>
      <w:bookmarkStart w:id="1" w:name="_Toc8660015"/>
      <w:bookmarkStart w:id="2" w:name="_Toc79529238"/>
      <w:bookmarkStart w:id="3" w:name="_Toc79529340"/>
      <w:r>
        <w:rPr>
          <w:rFonts w:ascii="Times New Roman" w:eastAsia="方正楷体_GBK" w:cs="Times New Roman" w:hAnsi="Times New Roman"/>
          <w:b/>
          <w:bCs/>
          <w:color w:val="000000"/>
          <w:sz w:val="32"/>
          <w:szCs w:val="32"/>
          <w:lang w:bidi="ar-SA"/>
        </w:rPr>
        <w:t xml:space="preserve">1.3 </w:t>
      </w:r>
      <w:r>
        <w:rPr>
          <w:rFonts w:ascii="方正楷体_GBK" w:eastAsia="方正楷体_GBK" w:cs="宋体" w:hint="eastAsia"/>
          <w:b/>
          <w:bCs/>
          <w:color w:val="000000"/>
          <w:sz w:val="32"/>
          <w:szCs w:val="32"/>
          <w:lang w:bidi="ar-SA"/>
        </w:rPr>
        <w:t>编制依据</w:t>
      </w:r>
    </w:p>
    <w:p>
      <w:pPr>
        <w:pStyle w:val="126"/>
        <w:snapToGrid w:val="0"/>
        <w:spacing w:line="560" w:lineRule="exact"/>
        <w:ind w:firstLineChars="199" w:firstLine="637"/>
        <w:jc w:val="both"/>
        <w:rPr>
          <w:rFonts w:ascii="方正仿宋_GBK" w:eastAsia="方正仿宋_GBK" w:cs="宋体" w:hint="eastAsia"/>
          <w:color w:val="000000"/>
          <w:sz w:val="32"/>
          <w:szCs w:val="32"/>
          <w:lang w:bidi="ar-SA"/>
        </w:rPr>
      </w:pPr>
      <w:r>
        <w:rPr>
          <w:rFonts w:ascii="方正仿宋_GBK" w:eastAsia="方正仿宋_GBK" w:hint="eastAsia"/>
          <w:sz w:val="32"/>
        </w:rPr>
        <w:t>根据《中华人民共和国进出境动植物检疫法》及其实施条例、《中华人民共和国动物防疫法》《中华人民共和国突发事件应对法》《中华人民共和国海关法》《重大动物疫情应急条例》《国家突发重大动物疫情应急预案》《海关系统突发事件应急预案》和《海关突发事件应急管理暂行办法》等法律、法规和规定。</w:t>
      </w:r>
    </w:p>
    <w:p>
      <w:pPr>
        <w:pStyle w:val="127"/>
        <w:snapToGrid w:val="0"/>
        <w:spacing w:line="560" w:lineRule="exact"/>
        <w:ind w:firstLineChars="200" w:firstLine="640"/>
        <w:jc w:val="both"/>
        <w:rPr>
          <w:rFonts w:ascii="方正楷体_GBK" w:eastAsia="方正楷体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 xml:space="preserve">1.4 </w:t>
      </w:r>
      <w:r>
        <w:rPr>
          <w:rFonts w:ascii="方正楷体_GBK" w:eastAsia="方正楷体_GBK" w:cs="宋体" w:hint="eastAsia"/>
          <w:b/>
          <w:bCs/>
          <w:color w:val="000000"/>
          <w:sz w:val="32"/>
          <w:szCs w:val="32"/>
          <w:lang w:bidi="ar-SA"/>
        </w:rPr>
        <w:t>工作原则</w:t>
      </w:r>
    </w:p>
    <w:p>
      <w:pPr>
        <w:pStyle w:val="127"/>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统一指挥，分级管理，各司其职；快速反应，高效处置，规范有序；资源整合，分工协作，信息共享。</w:t>
      </w:r>
    </w:p>
    <w:p>
      <w:pPr>
        <w:pStyle w:val="123"/>
        <w:snapToGrid w:val="0"/>
        <w:spacing w:line="560" w:lineRule="exact"/>
        <w:ind w:firstLineChars="200" w:firstLine="640"/>
        <w:jc w:val="both"/>
        <w:rPr>
          <w:rFonts w:ascii="方正楷体_GBK" w:eastAsia="方正楷体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 xml:space="preserve">1.5 </w:t>
      </w:r>
      <w:r>
        <w:rPr>
          <w:rFonts w:ascii="方正楷体_GBK" w:eastAsia="方正楷体_GBK" w:cs="宋体" w:hint="eastAsia"/>
          <w:b/>
          <w:bCs/>
          <w:color w:val="000000"/>
          <w:sz w:val="32"/>
          <w:szCs w:val="32"/>
          <w:lang w:bidi="ar-SA"/>
        </w:rPr>
        <w:t>重大动物疫情分类</w:t>
      </w:r>
      <w:bookmarkEnd w:id="1"/>
      <w:bookmarkEnd w:id="2"/>
      <w:bookmarkEnd w:id="3"/>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进出境重大动物疫情分为三类：</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一类（A类）：境外发生的重大动物疫情或者疑似重大动物疫情。</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二类（B类）：境内发生的重大动物疫情或者疑似重大动物疫情。</w:t>
      </w:r>
    </w:p>
    <w:p>
      <w:pPr>
        <w:pStyle w:val="123"/>
        <w:snapToGrid w:val="0"/>
        <w:spacing w:line="560" w:lineRule="exact"/>
        <w:ind w:firstLineChars="200" w:firstLine="640"/>
        <w:jc w:val="both"/>
        <w:rPr>
          <w:rFonts w:ascii="方正仿宋_GBK" w:eastAsia="方正仿宋_GBK" w:cs="宋体" w:hint="eastAsia"/>
          <w:bCs/>
          <w:color w:val="000000"/>
          <w:sz w:val="32"/>
          <w:szCs w:val="32"/>
          <w:lang w:bidi="ar-SA"/>
        </w:rPr>
      </w:pPr>
      <w:r>
        <w:rPr>
          <w:rFonts w:ascii="方正仿宋_GBK" w:eastAsia="方正仿宋_GBK" w:cs="宋体" w:hint="eastAsia"/>
          <w:color w:val="000000"/>
          <w:sz w:val="32"/>
          <w:szCs w:val="32"/>
          <w:lang w:bidi="ar-SA"/>
        </w:rPr>
        <w:t>三类（C类）：出入境检疫工作中发现的重大动物疫情或者疑似重大动物疫情。</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2 </w:t>
      </w:r>
      <w:r>
        <w:rPr>
          <w:rFonts w:ascii="方正黑体_GBK" w:eastAsia="方正黑体_GBK" w:cs="宋体" w:hint="eastAsia"/>
          <w:color w:val="000000"/>
          <w:sz w:val="32"/>
          <w:szCs w:val="32"/>
          <w:lang w:bidi="ar-SA"/>
        </w:rPr>
        <w:t>应急指挥体系及职责</w:t>
      </w:r>
    </w:p>
    <w:p>
      <w:pPr>
        <w:pStyle w:val="123"/>
        <w:snapToGrid w:val="0"/>
        <w:spacing w:line="560" w:lineRule="exact"/>
        <w:ind w:firstLineChars="200" w:firstLine="640"/>
        <w:jc w:val="both"/>
        <w:rPr>
          <w:rFonts w:ascii="方正楷体_GBK" w:eastAsia="方正楷体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 xml:space="preserve">2.1 </w:t>
      </w:r>
      <w:r>
        <w:rPr>
          <w:rFonts w:ascii="方正楷体_GBK" w:eastAsia="方正楷体_GBK" w:cs="宋体" w:hint="eastAsia"/>
          <w:b/>
          <w:bCs/>
          <w:color w:val="000000"/>
          <w:sz w:val="32"/>
          <w:szCs w:val="32"/>
          <w:lang w:bidi="ar-SA"/>
        </w:rPr>
        <w:t>组织指挥体系</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进出境重大动物疫情应急指挥体系由呼和浩特海关和事发地隶属海关两级应急指挥部组成，由呼和浩特海关应急指挥部统一领导。呼和浩特海关及隶属海关应急指挥部</w:t>
      </w:r>
      <w:r>
        <w:rPr>
          <w:rFonts w:ascii="方正仿宋_GBK" w:eastAsia="方正仿宋_GBK" w:hint="eastAsia"/>
          <w:sz w:val="32"/>
        </w:rPr>
        <w:t>组建应急专家队伍，为应急处置疫情提供技术支撑。</w:t>
      </w:r>
    </w:p>
    <w:p>
      <w:pPr>
        <w:pStyle w:val="123"/>
        <w:snapToGrid w:val="0"/>
        <w:spacing w:line="560" w:lineRule="exact"/>
        <w:ind w:firstLineChars="200" w:firstLine="640"/>
        <w:jc w:val="both"/>
        <w:rPr>
          <w:rFonts w:ascii="方正仿宋_GBK" w:eastAsia="方正仿宋_GBK" w:cs="宋体" w:hint="eastAsia"/>
          <w:b/>
          <w:bCs/>
          <w:color w:val="000000"/>
          <w:sz w:val="32"/>
          <w:szCs w:val="32"/>
          <w:lang w:bidi="ar-SA"/>
        </w:rPr>
      </w:pPr>
      <w:r>
        <w:rPr>
          <w:rFonts w:ascii="Times New Roman" w:eastAsia="方正楷体_GBK" w:cs="Times New Roman" w:hAnsi="Times New Roman"/>
          <w:b/>
          <w:bCs/>
          <w:color w:val="000000"/>
          <w:sz w:val="32"/>
          <w:szCs w:val="32"/>
          <w:lang w:bidi="ar-SA"/>
        </w:rPr>
        <w:t xml:space="preserve">2.1.1 </w:t>
      </w:r>
      <w:r>
        <w:rPr>
          <w:rFonts w:ascii="方正仿宋_GBK" w:eastAsia="方正仿宋_GBK" w:cs="宋体" w:hint="eastAsia"/>
          <w:b/>
          <w:bCs/>
          <w:color w:val="000000"/>
          <w:sz w:val="32"/>
          <w:szCs w:val="32"/>
          <w:lang w:bidi="ar-SA"/>
        </w:rPr>
        <w:t>呼和浩特海关应急指挥部及办公室</w:t>
      </w:r>
    </w:p>
    <w:p>
      <w:pPr>
        <w:pStyle w:val="123"/>
        <w:snapToGrid w:val="0"/>
        <w:spacing w:line="560" w:lineRule="exact"/>
        <w:ind w:firstLineChars="200" w:firstLine="640"/>
        <w:jc w:val="both"/>
        <w:rPr>
          <w:rFonts w:ascii="方正仿宋_GBK" w:eastAsia="方正仿宋_GBK" w:cs="宋体" w:hint="eastAsia"/>
          <w:b/>
          <w:bCs/>
          <w:color w:val="000000"/>
          <w:sz w:val="32"/>
          <w:szCs w:val="32"/>
          <w:lang w:bidi="ar-SA"/>
        </w:rPr>
      </w:pPr>
      <w:r>
        <w:rPr>
          <w:rFonts w:ascii="方正仿宋_GBK" w:eastAsia="方正仿宋_GBK" w:cs="宋体" w:hint="eastAsia"/>
          <w:color w:val="000000"/>
          <w:sz w:val="32"/>
          <w:szCs w:val="32"/>
          <w:lang w:bidi="ar-SA"/>
        </w:rPr>
        <w:t>呼和浩特海关</w:t>
      </w:r>
      <w:r>
        <w:rPr>
          <w:rFonts w:ascii="方正仿宋_GBK" w:eastAsia="方正仿宋_GBK" w:cs="宋体" w:hint="eastAsia"/>
          <w:bCs/>
          <w:color w:val="000000"/>
          <w:sz w:val="32"/>
          <w:szCs w:val="32"/>
          <w:lang w:bidi="ar-SA"/>
        </w:rPr>
        <w:t>应急指挥部</w:t>
      </w:r>
      <w:r>
        <w:rPr>
          <w:rFonts w:ascii="方正仿宋_GBK" w:eastAsia="方正仿宋_GBK" w:cs="宋体" w:hint="eastAsia"/>
          <w:color w:val="000000"/>
          <w:sz w:val="32"/>
          <w:szCs w:val="32"/>
          <w:lang w:bidi="ar-SA"/>
        </w:rPr>
        <w:t>由呼和浩特海关主要负责同志担任总指挥，分管关领导担任副总指挥，办公室、法规处、综合业务处、卫生检疫处、动植物检疫处、进出口食品安全处、口岸监管处、企业管理与稽查处、财务处、科技处、人事教育处、缉私局、后勤管理中心、技术中心和隶属海关、风险防控分局主要负责同志任成员，在总指挥的统一领导下实施紧急预防、应对和应急行动。</w:t>
      </w:r>
    </w:p>
    <w:p>
      <w:pPr>
        <w:pStyle w:val="128"/>
        <w:ind w:firstLineChars="200" w:firstLine="640"/>
        <w:rPr>
          <w:rStyle w:val="123Char"/>
          <w:rFonts w:ascii="方正仿宋_GBK" w:eastAsia="方正仿宋_GBK" w:cs="宋体" w:hint="eastAsia"/>
          <w:color w:val="000000"/>
          <w:kern w:val="2"/>
          <w:sz w:val="32"/>
          <w:szCs w:val="32"/>
          <w:lang w:bidi="ar-SA"/>
        </w:rPr>
      </w:pPr>
      <w:r>
        <w:rPr>
          <w:rFonts w:ascii="方正仿宋_GBK" w:eastAsia="方正仿宋_GBK" w:cs="宋体" w:hint="eastAsia"/>
          <w:color w:val="000000"/>
          <w:kern w:val="2"/>
          <w:sz w:val="32"/>
          <w:szCs w:val="32"/>
          <w:lang w:bidi="ar-SA"/>
        </w:rPr>
        <w:t>呼和浩特海关应急指挥部办公室设在动植物检疫处。</w:t>
      </w:r>
      <w:r>
        <w:rPr>
          <w:rStyle w:val="123Char"/>
          <w:rFonts w:ascii="方正仿宋_GBK" w:eastAsia="方正仿宋_GBK" w:cs="宋体" w:hint="eastAsia"/>
          <w:color w:val="000000"/>
          <w:kern w:val="2"/>
          <w:sz w:val="32"/>
          <w:szCs w:val="32"/>
          <w:lang w:bidi="ar-SA"/>
        </w:rPr>
        <w:t>动植物检疫处负责同志任主任，动植物检疫处全体工作人员任成员。</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2.1.2 </w:t>
      </w:r>
      <w:r>
        <w:rPr>
          <w:rFonts w:ascii="方正仿宋_GBK" w:eastAsia="方正仿宋_GBK" w:cs="宋体" w:hint="eastAsia"/>
          <w:b/>
          <w:color w:val="000000"/>
          <w:sz w:val="32"/>
          <w:szCs w:val="32"/>
          <w:lang w:bidi="ar-SA"/>
        </w:rPr>
        <w:t>现场应急指挥控部</w:t>
      </w:r>
    </w:p>
    <w:p>
      <w:pPr>
        <w:pStyle w:val="129"/>
        <w:widowControl/>
        <w:snapToGrid w:val="0"/>
        <w:spacing w:before="100" w:beforeAutospacing="1" w:after="100" w:afterAutospacing="1" w:line="560" w:lineRule="exact"/>
        <w:ind w:firstLine="603"/>
        <w:rPr>
          <w:rFonts w:eastAsia="方正仿宋_GBK"/>
          <w:sz w:val="32"/>
        </w:rPr>
      </w:pPr>
      <w:r>
        <w:rPr>
          <w:rFonts w:ascii="方正仿宋_GBK" w:eastAsia="方正仿宋_GBK" w:cs="宋体" w:hint="eastAsia"/>
          <w:color w:val="000000"/>
          <w:sz w:val="32"/>
          <w:szCs w:val="32"/>
          <w:lang w:bidi="ar-SA"/>
        </w:rPr>
        <w:t>隶属海关成立进出境重大动物疫情现场应急指挥部（简称现场应急指挥部），组长由隶属海关主要负责同志担任，成员一般由相对固定、经过培训、熟悉动物检验检疫业务的专业人员组成。</w:t>
      </w:r>
      <w:r>
        <w:rPr>
          <w:rFonts w:eastAsia="方正仿宋_GBK"/>
          <w:sz w:val="32"/>
        </w:rPr>
        <w:t>隶属海关可根据实际工作需要，组建进出境重大动物疫情应急处置专家组。</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2.2 </w:t>
      </w:r>
      <w:r>
        <w:rPr>
          <w:rFonts w:ascii="方正楷体_GBK" w:eastAsia="方正楷体_GBK" w:cs="宋体" w:hint="eastAsia"/>
          <w:b/>
          <w:color w:val="000000"/>
          <w:sz w:val="32"/>
          <w:szCs w:val="32"/>
          <w:lang w:bidi="ar-SA"/>
        </w:rPr>
        <w:t>职责分工</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2.2.1</w:t>
      </w:r>
      <w:r>
        <w:rPr>
          <w:rFonts w:ascii="方正仿宋_GBK" w:eastAsia="方正仿宋_GBK" w:cs="宋体" w:hint="eastAsia"/>
          <w:b/>
          <w:bCs/>
          <w:color w:val="000000"/>
          <w:sz w:val="32"/>
          <w:szCs w:val="32"/>
          <w:lang w:bidi="ar-SA"/>
        </w:rPr>
        <w:t>呼和浩特海</w:t>
      </w:r>
      <w:r>
        <w:rPr>
          <w:rFonts w:ascii="方正仿宋_GBK" w:eastAsia="方正仿宋_GBK" w:cs="宋体" w:hint="eastAsia"/>
          <w:b/>
          <w:color w:val="000000"/>
          <w:sz w:val="32"/>
          <w:szCs w:val="32"/>
          <w:lang w:bidi="ar-SA"/>
        </w:rPr>
        <w:t>关应急指挥部</w:t>
      </w:r>
    </w:p>
    <w:p>
      <w:pPr>
        <w:pStyle w:val="130"/>
        <w:snapToGrid w:val="0"/>
        <w:spacing w:line="560" w:lineRule="exact"/>
        <w:ind w:firstLineChars="200" w:firstLine="640"/>
        <w:jc w:val="both"/>
        <w:rPr>
          <w:rFonts w:ascii="Times New Roman" w:eastAsia="方正仿宋_GBK" w:cs="Times New Roman" w:hAnsi="Times New Roman"/>
          <w:bCs/>
          <w:kern w:val="2"/>
          <w:sz w:val="32"/>
          <w:szCs w:val="24"/>
          <w:lang w:bidi="ar-SA"/>
        </w:rPr>
      </w:pPr>
      <w:r>
        <w:rPr>
          <w:rFonts w:ascii="Times New Roman" w:eastAsia="方正仿宋_GBK" w:cs="Times New Roman" w:hAnsi="Times New Roman"/>
          <w:bCs/>
          <w:kern w:val="2"/>
          <w:sz w:val="32"/>
          <w:szCs w:val="24"/>
          <w:lang w:bidi="ar-SA"/>
        </w:rPr>
        <w:t>呼和浩特海关指挥部在海关总署统一领导下，负责贯彻执行党中央、国务院、自治区政府、海关总署关于重大动物疫情防治工作的有关指示、指令、会议和文件精神；领导、组织、协调辖区内进出境重大动物疫情应急处置工作；采取措施对进出境动物、动物产品和其他相关货物及运输工具等实行应急防控；决定预案在辖区内的启动和终止；指导、检查、监督下属各单位重大动物疫情防控、防治工作；组织、协调、调动人力、财力和物力资源，开展应急处置工作；随时向海关总署指挥部和内蒙古人民政府汇报工作和提出有关建议。</w:t>
      </w:r>
    </w:p>
    <w:p>
      <w:pPr>
        <w:pStyle w:val="130"/>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2.2.2</w:t>
      </w:r>
      <w:r>
        <w:rPr>
          <w:rFonts w:ascii="方正仿宋_GBK" w:eastAsia="方正仿宋_GBK" w:cs="宋体" w:hint="eastAsia"/>
          <w:b/>
          <w:bCs/>
          <w:color w:val="000000"/>
          <w:sz w:val="32"/>
          <w:szCs w:val="32"/>
          <w:lang w:bidi="ar-SA"/>
        </w:rPr>
        <w:t>呼和浩特海</w:t>
      </w:r>
      <w:r>
        <w:rPr>
          <w:rFonts w:ascii="方正仿宋_GBK" w:eastAsia="方正仿宋_GBK" w:cs="宋体" w:hint="eastAsia"/>
          <w:b/>
          <w:color w:val="000000"/>
          <w:sz w:val="32"/>
          <w:szCs w:val="32"/>
          <w:lang w:bidi="ar-SA"/>
        </w:rPr>
        <w:t>关应急指挥部办公室</w:t>
      </w:r>
    </w:p>
    <w:p>
      <w:pPr>
        <w:pStyle w:val="131"/>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负责关区进出境重大动物疫情应急处置工作的日常协调管理、年度预算、疫情监测和收集、应急信息汇总通报等工作；负责承办呼和浩特海关应急指挥部的具体工作事宜，指导现场指挥部工作；组织制定、实施呼和浩特海关进出境重大动物疫情应急处置方案；收集、整理有关境内外疫情动态及相关信息，提出应对措施和建议；向呼和浩特海关应急指挥部报告系统重大动物疫情应急工作情况；负责各相关部门之间的联络和沟通；负责与内蒙古自治区农业、畜牧、卫生等部门的联络和沟通；培训本系统进出境重大动物疫情应急专业技术力量。</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
          <w:bCs/>
          <w:color w:val="000000"/>
          <w:sz w:val="32"/>
          <w:szCs w:val="32"/>
          <w:lang w:bidi="ar-SA"/>
        </w:rPr>
        <w:t>2.2.3</w:t>
      </w:r>
      <w:r>
        <w:rPr>
          <w:rFonts w:ascii="方正仿宋_GBK" w:eastAsia="方正仿宋_GBK" w:cs="宋体" w:hint="eastAsia"/>
          <w:b/>
          <w:bCs/>
          <w:color w:val="000000"/>
          <w:sz w:val="32"/>
          <w:szCs w:val="32"/>
          <w:lang w:bidi="ar-SA"/>
        </w:rPr>
        <w:t>呼和浩特海</w:t>
      </w:r>
      <w:r>
        <w:rPr>
          <w:rFonts w:ascii="方正仿宋_GBK" w:eastAsia="方正仿宋_GBK" w:cs="宋体" w:hint="eastAsia"/>
          <w:b/>
          <w:color w:val="000000"/>
          <w:sz w:val="32"/>
          <w:szCs w:val="32"/>
          <w:lang w:bidi="ar-SA"/>
        </w:rPr>
        <w:t>关应急指挥部成员</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color w:val="000000"/>
          <w:sz w:val="32"/>
          <w:szCs w:val="32"/>
          <w:lang w:bidi="ar-SA"/>
        </w:rPr>
        <w:t>（1）</w:t>
      </w:r>
      <w:r>
        <w:rPr>
          <w:rFonts w:ascii="方正仿宋_GBK" w:eastAsia="方正仿宋_GBK" w:cs="宋体" w:hint="eastAsia"/>
          <w:color w:val="000000"/>
          <w:sz w:val="32"/>
          <w:szCs w:val="32"/>
          <w:lang w:bidi="ar-SA"/>
        </w:rPr>
        <w:t>办公室负责应急状态下与新闻媒体联络和对外报道；</w:t>
      </w:r>
    </w:p>
    <w:p>
      <w:pPr>
        <w:pStyle w:val="132"/>
        <w:snapToGrid w:val="0"/>
        <w:spacing w:after="0" w:line="560" w:lineRule="exact"/>
        <w:ind w:firstLineChars="200" w:firstLine="640"/>
        <w:jc w:val="both"/>
        <w:rPr>
          <w:rFonts w:ascii="方正仿宋_GBK" w:hAnsi="方正仿宋_GBK"/>
        </w:rPr>
      </w:pPr>
      <w:r>
        <w:rPr>
          <w:rFonts w:ascii="Times New Roman" w:eastAsia="方正楷体_GBK" w:cs="Times New Roman" w:hAnsi="Times New Roman"/>
          <w:bCs/>
          <w:color w:val="000000"/>
          <w:sz w:val="32"/>
          <w:szCs w:val="32"/>
          <w:lang w:bidi="ar-SA"/>
        </w:rPr>
        <w:t>（2）</w:t>
      </w:r>
      <w:r>
        <w:rPr>
          <w:rFonts w:ascii="方正仿宋_GBK" w:eastAsia="方正仿宋_GBK" w:cs="宋体" w:hint="eastAsia"/>
          <w:bCs/>
          <w:color w:val="000000"/>
          <w:sz w:val="32"/>
          <w:szCs w:val="32"/>
          <w:lang w:bidi="ar-SA"/>
        </w:rPr>
        <w:t>法规</w:t>
      </w:r>
      <w:r>
        <w:rPr>
          <w:rFonts w:ascii="方正仿宋_GBK" w:eastAsia="方正仿宋_GBK" w:cs="宋体" w:hint="eastAsia"/>
          <w:bCs/>
          <w:sz w:val="32"/>
          <w:lang w:bidi="ar-SA"/>
        </w:rPr>
        <w:t>处</w:t>
      </w:r>
      <w:r>
        <w:rPr>
          <w:rFonts w:ascii="方正仿宋_GBK" w:eastAsia="方正仿宋_GBK" w:hint="eastAsia"/>
          <w:sz w:val="32"/>
        </w:rPr>
        <w:t>负责应急工作的法律支持等；</w:t>
      </w:r>
    </w:p>
    <w:p>
      <w:pPr>
        <w:pStyle w:val="13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（3）</w:t>
      </w:r>
      <w:r>
        <w:rPr>
          <w:rFonts w:ascii="方正仿宋_GBK" w:eastAsia="方正仿宋_GBK" w:cs="宋体" w:hint="eastAsia"/>
          <w:color w:val="000000"/>
          <w:sz w:val="32"/>
          <w:szCs w:val="32"/>
          <w:lang w:bidi="ar-SA"/>
        </w:rPr>
        <w:t>综合业务处负责应急状态下的通关协调工作；</w:t>
      </w:r>
    </w:p>
    <w:p>
      <w:pPr>
        <w:pStyle w:val="134"/>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（4）</w:t>
      </w:r>
      <w:r>
        <w:rPr>
          <w:rFonts w:ascii="方正仿宋_GBK" w:eastAsia="方正仿宋_GBK" w:cs="宋体" w:hint="eastAsia"/>
          <w:color w:val="000000"/>
          <w:sz w:val="32"/>
          <w:szCs w:val="32"/>
          <w:lang w:bidi="ar-SA"/>
        </w:rPr>
        <w:t>卫生检疫处负责与卫生检疫相关的人畜共患重大动物疫情应急处置工作；</w:t>
      </w:r>
    </w:p>
    <w:p>
      <w:pPr>
        <w:pStyle w:val="135"/>
        <w:spacing w:line="560" w:lineRule="exact"/>
        <w:outlineLvl w:val="9"/>
        <w:rPr>
          <w:rFonts w:ascii="方正仿宋_GBK" w:hint="eastAsia"/>
          <w:b w:val="0"/>
          <w:bCs w:val="0"/>
        </w:rPr>
      </w:pPr>
      <w:r>
        <w:rPr>
          <w:rFonts w:eastAsia="方正楷体_GBK"/>
          <w:b w:val="0"/>
          <w:color w:val="000000"/>
          <w:kern w:val="0"/>
        </w:rPr>
        <w:t>（5）</w:t>
      </w:r>
      <w:r>
        <w:rPr>
          <w:rFonts w:ascii="方正仿宋_GBK" w:hint="eastAsia"/>
          <w:b w:val="0"/>
          <w:bCs w:val="0"/>
        </w:rPr>
        <w:t>动植物检疫处负责提供进出境重大动物疫情突发事件预警、研判、处置的技术支持，组织成立应急专家组。</w:t>
      </w:r>
    </w:p>
    <w:p>
      <w:pPr>
        <w:pStyle w:val="136"/>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（6）</w:t>
      </w:r>
      <w:r>
        <w:rPr>
          <w:rFonts w:ascii="方正仿宋_GBK" w:eastAsia="方正仿宋_GBK" w:cs="宋体" w:hint="eastAsia"/>
          <w:color w:val="000000"/>
          <w:sz w:val="32"/>
          <w:szCs w:val="32"/>
          <w:lang w:bidi="ar-SA"/>
        </w:rPr>
        <w:t>进出口食品安全处负责应急状态下的食品</w:t>
      </w:r>
      <w:r>
        <w:rPr>
          <w:rFonts w:ascii="方正仿宋_GBK" w:eastAsia="方正仿宋_GBK" w:hint="eastAsia"/>
          <w:sz w:val="32"/>
        </w:rPr>
        <w:t>重大动物疫情防控工作</w:t>
      </w:r>
      <w:r>
        <w:rPr>
          <w:rFonts w:ascii="方正仿宋_GBK" w:eastAsia="方正仿宋_GBK" w:cs="宋体" w:hint="eastAsia"/>
          <w:color w:val="000000"/>
          <w:sz w:val="32"/>
          <w:szCs w:val="32"/>
          <w:lang w:bidi="ar-SA"/>
        </w:rPr>
        <w:t>；</w:t>
      </w:r>
    </w:p>
    <w:p>
      <w:pPr>
        <w:pStyle w:val="137"/>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（7）</w:t>
      </w:r>
      <w:r>
        <w:rPr>
          <w:rFonts w:ascii="方正仿宋_GBK" w:eastAsia="方正仿宋_GBK" w:cs="宋体" w:hint="eastAsia"/>
          <w:color w:val="000000"/>
          <w:sz w:val="32"/>
          <w:szCs w:val="32"/>
          <w:lang w:bidi="ar-SA"/>
        </w:rPr>
        <w:t>口岸监管处负责应急状态下口岸防控监管工作；</w:t>
      </w:r>
    </w:p>
    <w:p>
      <w:pPr>
        <w:pStyle w:val="138"/>
        <w:snapToGrid w:val="0"/>
        <w:spacing w:after="0" w:line="560" w:lineRule="exact"/>
        <w:ind w:firstLineChars="200" w:firstLine="640"/>
        <w:jc w:val="both"/>
        <w:rPr>
          <w:rFonts w:ascii="方正仿宋_GBK" w:eastAsia="方正仿宋_GBK" w:hint="eastAsia"/>
          <w:kern w:val="2"/>
          <w:sz w:val="32"/>
          <w:szCs w:val="32"/>
        </w:rPr>
      </w:pPr>
      <w:r>
        <w:rPr>
          <w:rFonts w:ascii="Times New Roman" w:eastAsia="方正楷体_GBK" w:cs="Times New Roman" w:hAnsi="Times New Roman"/>
          <w:bCs/>
          <w:color w:val="000000"/>
          <w:sz w:val="32"/>
          <w:szCs w:val="32"/>
          <w:lang w:bidi="ar-SA"/>
        </w:rPr>
        <w:t>（8）</w:t>
      </w:r>
      <w:r>
        <w:rPr>
          <w:rFonts w:ascii="方正仿宋_GBK" w:eastAsia="方正仿宋_GBK" w:hint="eastAsia"/>
          <w:kern w:val="2"/>
          <w:sz w:val="32"/>
          <w:szCs w:val="32"/>
        </w:rPr>
        <w:t>企业管理和稽查处负责根据业务职能部门提出的疫情防控需求，调整布控规则、统一下达风险作业指令和风险预警；收集防控信息；</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（9）</w:t>
      </w:r>
      <w:r>
        <w:rPr>
          <w:rFonts w:ascii="方正仿宋_GBK" w:eastAsia="方正仿宋_GBK" w:cs="宋体" w:hint="eastAsia"/>
          <w:color w:val="000000"/>
          <w:sz w:val="32"/>
          <w:szCs w:val="32"/>
          <w:lang w:bidi="ar-SA"/>
        </w:rPr>
        <w:t>财务处负责落实年度应急预案和应急状态下重大动物疫情处置所需经费；</w:t>
      </w:r>
    </w:p>
    <w:p>
      <w:pPr>
        <w:pStyle w:val="139"/>
        <w:snapToGrid w:val="0"/>
        <w:spacing w:after="0" w:line="560" w:lineRule="exact"/>
        <w:ind w:firstLineChars="200" w:firstLine="640"/>
        <w:jc w:val="both"/>
        <w:rPr>
          <w:rFonts w:ascii="方正仿宋_GBK" w:eastAsia="方正仿宋_GBK" w:hint="eastAsia"/>
          <w:kern w:val="2"/>
          <w:sz w:val="32"/>
          <w:szCs w:val="32"/>
        </w:rPr>
      </w:pPr>
      <w:r>
        <w:rPr>
          <w:rFonts w:ascii="Times New Roman" w:eastAsia="方正楷体_GBK" w:cs="Times New Roman" w:hAnsi="Times New Roman"/>
          <w:bCs/>
          <w:color w:val="000000"/>
          <w:sz w:val="32"/>
          <w:szCs w:val="32"/>
          <w:lang w:bidi="ar-SA"/>
        </w:rPr>
        <w:t>（10）</w:t>
      </w:r>
      <w:r>
        <w:rPr>
          <w:rFonts w:ascii="方正仿宋_GBK" w:eastAsia="方正仿宋_GBK" w:cs="宋体" w:hint="eastAsia"/>
          <w:bCs/>
          <w:color w:val="000000"/>
          <w:sz w:val="32"/>
          <w:szCs w:val="32"/>
          <w:lang w:bidi="ar-SA"/>
        </w:rPr>
        <w:t>科技处</w:t>
      </w:r>
      <w:r>
        <w:rPr>
          <w:rFonts w:ascii="方正仿宋_GBK" w:eastAsia="方正仿宋_GBK" w:hint="eastAsia"/>
          <w:kern w:val="2"/>
          <w:sz w:val="32"/>
          <w:szCs w:val="32"/>
        </w:rPr>
        <w:t>负责相应信息网络系统安全、畅通运行，提供可靠的通讯保障等；</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（11）</w:t>
      </w:r>
      <w:r>
        <w:rPr>
          <w:rFonts w:ascii="方正仿宋_GBK" w:eastAsia="方正仿宋_GBK" w:cs="宋体" w:hint="eastAsia"/>
          <w:color w:val="000000"/>
          <w:sz w:val="32"/>
          <w:szCs w:val="32"/>
          <w:lang w:bidi="ar-SA"/>
        </w:rPr>
        <w:t>人事教育处负责应急状态下后备人员的调配；</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（12）</w:t>
      </w:r>
      <w:r>
        <w:rPr>
          <w:rFonts w:ascii="方正仿宋_GBK" w:eastAsia="方正仿宋_GBK" w:cs="宋体" w:hint="eastAsia"/>
          <w:color w:val="000000"/>
          <w:sz w:val="32"/>
          <w:szCs w:val="32"/>
          <w:lang w:bidi="ar-SA"/>
        </w:rPr>
        <w:t>缉私局负责疫区动物产品走私打击整治工作；</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Cs/>
          <w:color w:val="000000"/>
          <w:sz w:val="32"/>
          <w:szCs w:val="32"/>
          <w:lang w:bidi="ar-SA"/>
        </w:rPr>
        <w:t>（13）</w:t>
      </w:r>
      <w:r>
        <w:rPr>
          <w:rFonts w:ascii="方正仿宋_GBK" w:eastAsia="方正仿宋_GBK" w:cs="宋体" w:hint="eastAsia"/>
          <w:color w:val="000000"/>
          <w:sz w:val="32"/>
          <w:szCs w:val="32"/>
          <w:lang w:bidi="ar-SA"/>
        </w:rPr>
        <w:t>后勤管理中心负责检疫处理相关工作；</w:t>
      </w:r>
    </w:p>
    <w:p>
      <w:pPr>
        <w:pStyle w:val="140"/>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color w:val="000000"/>
          <w:sz w:val="32"/>
          <w:szCs w:val="32"/>
          <w:lang w:bidi="ar-SA"/>
        </w:rPr>
        <w:t>（14）</w:t>
      </w:r>
      <w:r>
        <w:rPr>
          <w:rFonts w:ascii="方正仿宋_GBK" w:eastAsia="方正仿宋_GBK" w:cs="宋体" w:hint="eastAsia"/>
          <w:color w:val="000000"/>
          <w:sz w:val="32"/>
          <w:szCs w:val="32"/>
          <w:lang w:bidi="ar-SA"/>
        </w:rPr>
        <w:t>技术中心负责有关送检样品的实验室检测工作；</w:t>
      </w:r>
    </w:p>
    <w:p>
      <w:pPr>
        <w:pStyle w:val="123"/>
        <w:snapToGrid w:val="0"/>
        <w:spacing w:after="0" w:line="560" w:lineRule="exact"/>
        <w:ind w:firstLineChars="200" w:firstLine="640"/>
        <w:jc w:val="both"/>
        <w:rPr>
          <w:rFonts w:ascii="Times New Roman" w:eastAsia="方正楷体_GBK" w:cs="Times New Roman" w:hAnsi="Times New Roman"/>
          <w:color w:val="000000"/>
          <w:sz w:val="32"/>
          <w:szCs w:val="32"/>
          <w:lang w:bidi="ar-SA"/>
        </w:rPr>
      </w:pPr>
      <w:r>
        <w:rPr>
          <w:rFonts w:ascii="Times New Roman" w:eastAsia="方正楷体_GBK" w:cs="Times New Roman" w:hAnsi="Times New Roman"/>
          <w:color w:val="000000"/>
          <w:sz w:val="32"/>
          <w:szCs w:val="32"/>
          <w:lang w:bidi="ar-SA"/>
        </w:rPr>
        <w:t>（15）</w:t>
      </w:r>
      <w:r>
        <w:rPr>
          <w:rFonts w:ascii="方正仿宋_GBK" w:eastAsia="方正仿宋_GBK" w:cs="宋体" w:hint="eastAsia"/>
          <w:color w:val="000000"/>
          <w:sz w:val="32"/>
          <w:szCs w:val="32"/>
          <w:lang w:bidi="ar-SA"/>
        </w:rPr>
        <w:t>隶属海关根据事件级别，负责辖区职权范围内的应急处置工作，协助总关处置关区重大动物疫情；</w:t>
      </w:r>
    </w:p>
    <w:p>
      <w:pPr>
        <w:pStyle w:val="141"/>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color w:val="000000"/>
          <w:sz w:val="32"/>
          <w:szCs w:val="32"/>
          <w:lang w:bidi="ar-SA"/>
        </w:rPr>
        <w:t>（16）</w:t>
      </w:r>
      <w:r>
        <w:rPr>
          <w:rFonts w:ascii="方正仿宋_GBK" w:eastAsia="方正仿宋_GBK" w:cs="宋体" w:hint="eastAsia"/>
          <w:color w:val="000000"/>
          <w:sz w:val="32"/>
          <w:szCs w:val="32"/>
          <w:lang w:bidi="ar-SA"/>
        </w:rPr>
        <w:t>风险防控分局负责信息预警及布控工作。</w:t>
      </w:r>
    </w:p>
    <w:p>
      <w:pPr>
        <w:pStyle w:val="141"/>
        <w:snapToGrid w:val="0"/>
        <w:spacing w:after="0" w:line="560" w:lineRule="exact"/>
        <w:ind w:firstLineChars="200" w:firstLine="640"/>
        <w:jc w:val="both"/>
        <w:rPr>
          <w:rFonts w:ascii="方正仿宋_GBK" w:eastAsia="方正仿宋_GBK" w:cs="宋体" w:hint="eastAsia"/>
          <w:color w:val="000000"/>
          <w:sz w:val="32"/>
          <w:szCs w:val="32"/>
          <w:lang w:bidi="ar-SA"/>
        </w:rPr>
      </w:pP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
          <w:bCs/>
          <w:color w:val="000000"/>
          <w:sz w:val="32"/>
          <w:szCs w:val="32"/>
          <w:lang w:bidi="ar-SA"/>
        </w:rPr>
        <w:t xml:space="preserve">2.2.4 </w:t>
      </w:r>
      <w:r>
        <w:rPr>
          <w:rFonts w:ascii="方正仿宋_GBK" w:eastAsia="方正仿宋_GBK" w:cs="宋体" w:hint="eastAsia"/>
          <w:b/>
          <w:color w:val="000000"/>
          <w:sz w:val="32"/>
          <w:szCs w:val="32"/>
          <w:lang w:bidi="ar-SA"/>
        </w:rPr>
        <w:t>现场应急指挥部</w:t>
      </w:r>
    </w:p>
    <w:p>
      <w:pPr>
        <w:pStyle w:val="123"/>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具体落实上级应急指挥部下达的各项指令和任务；组织、协调、配合当地政府有关部门做好各项</w:t>
      </w:r>
      <w:r>
        <w:rPr>
          <w:rFonts w:ascii="方正仿宋_GBK" w:eastAsia="方正仿宋_GBK" w:cs="宋体" w:hint="eastAsia"/>
          <w:color w:val="000000"/>
          <w:sz w:val="32"/>
          <w:szCs w:val="32"/>
          <w:lang w:bidi="ar-SA"/>
        </w:rPr>
        <w:t>应急工作；随时向上级应急指挥部及当地人民政府汇报有关情况，特殊情况下可直接向海关总署应急指挥部报告情况和提出建议；落实所辖范围</w:t>
      </w:r>
      <w:r>
        <w:rPr>
          <w:rFonts w:ascii="方正仿宋_GBK" w:eastAsia="方正仿宋_GBK" w:cs="宋体" w:hint="eastAsia"/>
          <w:color w:val="000000"/>
          <w:spacing w:val="-6"/>
          <w:sz w:val="32"/>
          <w:szCs w:val="32"/>
          <w:lang w:bidi="ar-SA"/>
        </w:rPr>
        <w:t>内应对进出境重大动物疫情的人力和资源的储备；落实所辖范围内的进出境重大动物疫情应急处置各项工作。</w:t>
      </w:r>
    </w:p>
    <w:p>
      <w:pPr>
        <w:pStyle w:val="142"/>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2.2.5</w:t>
      </w:r>
      <w:r>
        <w:rPr>
          <w:rFonts w:ascii="方正仿宋_GBK" w:eastAsia="方正仿宋_GBK" w:cs="宋体" w:hint="eastAsia"/>
          <w:b/>
          <w:color w:val="000000"/>
          <w:sz w:val="32"/>
          <w:szCs w:val="32"/>
          <w:lang w:bidi="ar-SA"/>
        </w:rPr>
        <w:t>应急专家队伍</w:t>
      </w:r>
    </w:p>
    <w:p>
      <w:pPr>
        <w:pStyle w:val="143"/>
        <w:widowControl/>
        <w:snapToGrid w:val="0"/>
        <w:spacing w:before="100" w:beforeAutospacing="1" w:after="100" w:afterAutospacing="1" w:line="560" w:lineRule="exact"/>
        <w:ind w:firstLine="603"/>
        <w:rPr>
          <w:rFonts w:ascii="方正仿宋_GBK" w:eastAsia="方正仿宋_GBK" w:cs="宋体" w:hint="eastAsia"/>
          <w:color w:val="000000"/>
          <w:spacing w:val="-6"/>
          <w:sz w:val="32"/>
          <w:szCs w:val="32"/>
          <w:lang w:bidi="ar-SA"/>
        </w:rPr>
      </w:pPr>
      <w:r>
        <w:rPr>
          <w:rFonts w:ascii="方正仿宋_GBK" w:eastAsia="方正仿宋_GBK" w:cs="宋体" w:hint="eastAsia"/>
          <w:color w:val="000000"/>
          <w:sz w:val="32"/>
          <w:szCs w:val="32"/>
          <w:lang w:bidi="ar-SA"/>
        </w:rPr>
        <w:t>呼和浩特海</w:t>
      </w:r>
      <w:r>
        <w:rPr>
          <w:rFonts w:ascii="方正仿宋_GBK" w:eastAsia="方正仿宋_GBK" w:cs="宋体" w:hint="eastAsia"/>
          <w:color w:val="000000"/>
          <w:spacing w:val="-6"/>
          <w:sz w:val="32"/>
          <w:szCs w:val="32"/>
          <w:lang w:bidi="ar-SA"/>
        </w:rPr>
        <w:t>关应急指挥部组建进出境重大动物疫情应急处置专家组，负责现场诊断，</w:t>
      </w:r>
      <w:r>
        <w:rPr>
          <w:rFonts w:eastAsia="方正仿宋_GBK"/>
          <w:sz w:val="32"/>
        </w:rPr>
        <w:t>必要时可请系统外的专家参加工作。</w:t>
      </w:r>
      <w:r>
        <w:rPr>
          <w:rFonts w:ascii="方正仿宋_GBK" w:eastAsia="方正仿宋_GBK" w:cs="宋体" w:hint="eastAsia"/>
          <w:color w:val="000000"/>
          <w:spacing w:val="-6"/>
          <w:sz w:val="32"/>
          <w:szCs w:val="32"/>
          <w:lang w:bidi="ar-SA"/>
        </w:rPr>
        <w:t>隶属海关可根据实际工作需要，组建进出境重大动物疫情应急处置专家组。</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3 </w:t>
      </w:r>
      <w:r>
        <w:rPr>
          <w:rFonts w:ascii="方正黑体_GBK" w:eastAsia="方正黑体_GBK" w:cs="宋体" w:hint="eastAsia"/>
          <w:color w:val="000000"/>
          <w:sz w:val="32"/>
          <w:szCs w:val="32"/>
          <w:lang w:bidi="ar-SA"/>
        </w:rPr>
        <w:t>疫情报告、确认与预警</w:t>
      </w:r>
    </w:p>
    <w:p>
      <w:pPr>
        <w:pStyle w:val="123"/>
        <w:tabs>
          <w:tab w:val="left" w:pos="1890"/>
        </w:tabs>
        <w:snapToGrid w:val="0"/>
        <w:spacing w:line="560" w:lineRule="exact"/>
        <w:ind w:firstLineChars="200" w:firstLine="640"/>
        <w:jc w:val="both"/>
        <w:rPr>
          <w:rFonts w:ascii="方正楷体_GBK" w:eastAsia="方正楷体_GBK" w:hint="eastAsia"/>
          <w:b/>
          <w:bCs/>
          <w:sz w:val="32"/>
          <w:szCs w:val="32"/>
        </w:rPr>
      </w:pPr>
      <w:bookmarkStart w:id="4" w:name="_Toc8660020"/>
      <w:bookmarkStart w:id="5" w:name="_Toc79529243"/>
      <w:bookmarkStart w:id="6" w:name="_Toc79529345"/>
      <w:r>
        <w:rPr>
          <w:rFonts w:ascii="Times New Roman" w:eastAsia="方正楷体_GBK" w:cs="Times New Roman" w:hAnsi="Times New Roman"/>
          <w:b/>
          <w:bCs/>
          <w:color w:val="000000"/>
          <w:sz w:val="32"/>
          <w:szCs w:val="32"/>
          <w:lang w:bidi="ar-SA"/>
        </w:rPr>
        <w:t>3.1</w:t>
      </w:r>
      <w:r>
        <w:rPr>
          <w:rFonts w:ascii="方正楷体_GBK" w:eastAsia="方正楷体_GBK" w:hint="eastAsia"/>
          <w:b/>
          <w:bCs/>
          <w:sz w:val="32"/>
          <w:szCs w:val="32"/>
        </w:rPr>
        <w:t>疫情信息采集</w:t>
      </w:r>
      <w:bookmarkEnd w:id="4"/>
      <w:bookmarkEnd w:id="5"/>
      <w:bookmarkEnd w:id="6"/>
    </w:p>
    <w:p>
      <w:pPr>
        <w:pStyle w:val="123"/>
        <w:snapToGrid w:val="0"/>
        <w:spacing w:line="560" w:lineRule="exact"/>
        <w:ind w:firstLineChars="200" w:firstLine="640"/>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z w:val="32"/>
          <w:szCs w:val="32"/>
          <w:lang w:bidi="ar-SA"/>
        </w:rPr>
        <w:t>呼和浩特海</w:t>
      </w:r>
      <w:r>
        <w:rPr>
          <w:rFonts w:ascii="方正仿宋_GBK" w:eastAsia="方正仿宋_GBK" w:cs="宋体" w:hint="eastAsia"/>
          <w:color w:val="000000"/>
          <w:spacing w:val="-6"/>
          <w:sz w:val="32"/>
          <w:szCs w:val="32"/>
          <w:lang w:bidi="ar-SA"/>
        </w:rPr>
        <w:t>关应急指挥部及各现场应急指挥部设置重大动物疫情信息员，负责收集、整理和上报本关区内出入境检疫工作中发现的重大动物疫情信息。</w:t>
      </w:r>
    </w:p>
    <w:p>
      <w:pPr>
        <w:pStyle w:val="123"/>
        <w:tabs>
          <w:tab w:val="left" w:pos="1890"/>
        </w:tabs>
        <w:snapToGrid w:val="0"/>
        <w:spacing w:line="560" w:lineRule="exact"/>
        <w:ind w:firstLineChars="200" w:firstLine="640"/>
        <w:jc w:val="both"/>
        <w:rPr>
          <w:rFonts w:ascii="方正楷体_GBK" w:eastAsia="方正楷体_GBK" w:cs="Times New Roman" w:hint="eastAsia"/>
          <w:b/>
          <w:bCs/>
          <w:sz w:val="32"/>
          <w:szCs w:val="32"/>
          <w:lang w:bidi="ar-SA"/>
        </w:rPr>
      </w:pPr>
      <w:bookmarkStart w:id="7" w:name="_Toc8660021"/>
      <w:bookmarkStart w:id="8" w:name="_Toc79529244"/>
      <w:bookmarkStart w:id="9" w:name="_Toc79529346"/>
      <w:r>
        <w:rPr>
          <w:rFonts w:ascii="Times New Roman" w:eastAsia="方正楷体_GBK" w:cs="Times New Roman" w:hAnsi="Times New Roman"/>
          <w:b/>
          <w:bCs/>
          <w:color w:val="000000"/>
          <w:sz w:val="32"/>
          <w:szCs w:val="32"/>
          <w:lang w:bidi="ar-SA"/>
        </w:rPr>
        <w:t>3.2</w:t>
      </w:r>
      <w:r>
        <w:rPr>
          <w:rFonts w:ascii="方正楷体_GBK" w:eastAsia="方正楷体_GBK" w:cs="Times New Roman" w:hint="eastAsia"/>
          <w:b/>
          <w:bCs/>
          <w:sz w:val="32"/>
          <w:szCs w:val="32"/>
          <w:lang w:bidi="ar-SA"/>
        </w:rPr>
        <w:t>报告</w:t>
      </w:r>
      <w:bookmarkEnd w:id="7"/>
      <w:bookmarkEnd w:id="8"/>
      <w:bookmarkEnd w:id="9"/>
    </w:p>
    <w:p>
      <w:pPr>
        <w:pStyle w:val="123"/>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任何单位和个人有权向海关报告突发进出境重大动物疫情及其隐患，有权向上级海关举报不履行或者不按照规定履行突发进出境重大动物疫情应急处理职责的部门、单位及个人。</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3.2.1</w:t>
      </w:r>
      <w:r>
        <w:rPr>
          <w:rFonts w:ascii="方正仿宋_GBK" w:eastAsia="方正仿宋_GBK" w:cs="宋体" w:hint="eastAsia"/>
          <w:b/>
          <w:color w:val="000000"/>
          <w:sz w:val="32"/>
          <w:szCs w:val="32"/>
          <w:lang w:bidi="ar-SA"/>
        </w:rPr>
        <w:t>责任报告单位</w:t>
      </w:r>
    </w:p>
    <w:p>
      <w:pPr>
        <w:pStyle w:val="123"/>
        <w:snapToGrid w:val="0"/>
        <w:spacing w:after="0"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（1）隶属海关单位；</w:t>
      </w:r>
    </w:p>
    <w:p>
      <w:pPr>
        <w:pStyle w:val="123"/>
        <w:snapToGrid w:val="0"/>
        <w:spacing w:after="0"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（2）进出境动物隔离、饲养单位；</w:t>
      </w:r>
    </w:p>
    <w:p>
      <w:pPr>
        <w:pStyle w:val="123"/>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（3）进出境动物产品生产、加工、存放、经营的单位。</w:t>
      </w:r>
    </w:p>
    <w:p>
      <w:pPr>
        <w:pStyle w:val="123"/>
        <w:snapToGrid w:val="0"/>
        <w:spacing w:line="560" w:lineRule="exact"/>
        <w:ind w:firstLineChars="200" w:firstLine="640"/>
        <w:jc w:val="both"/>
        <w:rPr>
          <w:rFonts w:ascii="Times New Roman" w:eastAsia="方正楷体_GBK" w:cs="Times New Roman" w:hAnsi="Times New Roman" w:hint="eastAsia"/>
          <w:b/>
          <w:bCs/>
          <w:color w:val="000000"/>
          <w:sz w:val="32"/>
          <w:szCs w:val="32"/>
          <w:lang w:bidi="ar-SA"/>
        </w:rPr>
      </w:pPr>
      <w:r>
        <w:rPr>
          <w:rFonts w:ascii="Times New Roman" w:eastAsia="方正楷体_GBK" w:cs="Times New Roman" w:hAnsi="Times New Roman" w:hint="eastAsia"/>
          <w:b/>
          <w:bCs/>
          <w:color w:val="000000"/>
          <w:sz w:val="32"/>
          <w:szCs w:val="32"/>
          <w:lang w:bidi="ar-SA"/>
        </w:rPr>
        <w:t>3.2.2责任报告人</w:t>
      </w:r>
    </w:p>
    <w:p>
      <w:pPr>
        <w:pStyle w:val="123"/>
        <w:snapToGrid w:val="0"/>
        <w:spacing w:after="0"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（1）进出境动物及其产品检疫、查验、监管的海关工作人员；</w:t>
      </w:r>
    </w:p>
    <w:p>
      <w:pPr>
        <w:pStyle w:val="123"/>
        <w:snapToGrid w:val="0"/>
        <w:spacing w:after="0"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（2）进出境动物隔离、饲养单位的兽医；</w:t>
      </w:r>
    </w:p>
    <w:p>
      <w:pPr>
        <w:pStyle w:val="123"/>
        <w:snapToGrid w:val="0"/>
        <w:spacing w:line="560" w:lineRule="exact"/>
        <w:ind w:firstLineChars="200" w:firstLine="616"/>
        <w:jc w:val="both"/>
        <w:rPr>
          <w:rFonts w:ascii="方正仿宋_GBK" w:eastAsia="方正仿宋_GBK" w:cs="宋体" w:hint="eastAsia"/>
          <w:bCs/>
          <w:color w:val="000000"/>
          <w:spacing w:val="-6"/>
          <w:sz w:val="32"/>
          <w:szCs w:val="32"/>
          <w:lang w:bidi="ar-SA"/>
        </w:rPr>
      </w:pPr>
      <w:r>
        <w:rPr>
          <w:rFonts w:ascii="方正仿宋_GBK" w:eastAsia="方正仿宋_GBK" w:cs="宋体" w:hint="eastAsia"/>
          <w:bCs/>
          <w:color w:val="000000"/>
          <w:spacing w:val="-6"/>
          <w:sz w:val="32"/>
          <w:szCs w:val="32"/>
          <w:lang w:bidi="ar-SA"/>
        </w:rPr>
        <w:t>（3）生产、加工、存放、经营进出境动物产品的人员。</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hint="eastAsia"/>
          <w:b/>
          <w:bCs/>
          <w:color w:val="000000"/>
          <w:sz w:val="32"/>
          <w:szCs w:val="32"/>
          <w:lang w:bidi="ar-SA"/>
        </w:rPr>
        <w:t xml:space="preserve">3.2.3报告形式 </w:t>
      </w:r>
    </w:p>
    <w:p>
      <w:pPr>
        <w:pStyle w:val="123"/>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隶属海关单位发现突发重大动物疫情或者疑似重大动物疫情的，填写《进出境重大动物疫情信息预警表》（附件1）报告。其他责任报告单位和个人以电话、微信或书面等形式报告。</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3.2.4</w:t>
      </w:r>
      <w:r>
        <w:rPr>
          <w:rFonts w:ascii="方正仿宋_GBK" w:eastAsia="方正仿宋_GBK" w:cs="宋体" w:hint="eastAsia"/>
          <w:b/>
          <w:color w:val="000000"/>
          <w:sz w:val="32"/>
          <w:szCs w:val="32"/>
          <w:lang w:bidi="ar-SA"/>
        </w:rPr>
        <w:t>报告程序和时限</w:t>
      </w:r>
    </w:p>
    <w:p>
      <w:pPr>
        <w:pStyle w:val="123"/>
        <w:snapToGrid w:val="0"/>
        <w:spacing w:after="0"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发现可疑进出境重大动物疫情时，必须立即向隶属海关报告。隶属海关接到报告后，应当立即赶赴现场诊断，必要时可请呼和浩特海关派人协助进行诊断，认定为疑似重大动物疫情的，应当第一时间电话报告总署总值班室，并作出书面报告，同时抄报呼和浩特海关并报所在地人民政府兽医行政管理部门。</w:t>
      </w:r>
    </w:p>
    <w:p>
      <w:pPr>
        <w:pStyle w:val="123"/>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认定为疑似重大动物疫情的应立即按要求采集病料样品送海关总署指定实验室确诊。确诊结果应第一时间电话报告海关总署和当地人民政府，并作出书面报告。</w:t>
      </w:r>
    </w:p>
    <w:p>
      <w:pPr>
        <w:pStyle w:val="123"/>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3.2.5</w:t>
      </w:r>
      <w:r>
        <w:rPr>
          <w:rFonts w:ascii="方正仿宋_GBK" w:eastAsia="方正仿宋_GBK" w:cs="宋体" w:hint="eastAsia"/>
          <w:b/>
          <w:color w:val="000000"/>
          <w:sz w:val="32"/>
          <w:szCs w:val="32"/>
          <w:lang w:bidi="ar-SA"/>
        </w:rPr>
        <w:t>报告内容</w:t>
      </w:r>
    </w:p>
    <w:p>
      <w:pPr>
        <w:pStyle w:val="123"/>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hint="eastAsia"/>
          <w:sz w:val="32"/>
        </w:rPr>
        <w:t>疫情发生的时间、地点，发病的动物种类和品种、动物来源、临床症状、发病数量、死亡数量、是否有人员感染、已采取的控制措施、疫情报告的单位和个人、联系方式等。</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3.3 </w:t>
      </w:r>
      <w:r>
        <w:rPr>
          <w:rFonts w:ascii="方正楷体_GBK" w:eastAsia="方正楷体_GBK" w:cs="宋体" w:hint="eastAsia"/>
          <w:b/>
          <w:color w:val="000000"/>
          <w:sz w:val="32"/>
          <w:szCs w:val="32"/>
          <w:lang w:bidi="ar-SA"/>
        </w:rPr>
        <w:t>疫情确认</w:t>
      </w:r>
    </w:p>
    <w:p>
      <w:pPr>
        <w:pStyle w:val="123"/>
        <w:tabs>
          <w:tab w:val="left" w:pos="189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3.3.1</w:t>
      </w:r>
      <w:r>
        <w:rPr>
          <w:rFonts w:ascii="方正仿宋_GBK" w:eastAsia="方正仿宋_GBK" w:cs="宋体" w:hint="eastAsia"/>
          <w:b/>
          <w:color w:val="000000"/>
          <w:sz w:val="32"/>
          <w:szCs w:val="32"/>
          <w:lang w:bidi="ar-SA"/>
        </w:rPr>
        <w:t xml:space="preserve"> 重大动物疫情的确认依据</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（1）境外发生或疑似发生重大动物疫情以国际组织或区域性组织、各国或地区政府发布或通报的疫情信息为确认依据。</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（2）境内发生或疑似发生重大动物疫情以我国农业农村部发布或通报的疫情信息为确认依据。</w:t>
      </w:r>
    </w:p>
    <w:p>
      <w:pPr>
        <w:pStyle w:val="123"/>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（3）检验检疫工作中发现或疑似发生重大动物疫情以海关总署指定实验室的诊断结果为确认依据。</w:t>
      </w:r>
    </w:p>
    <w:p>
      <w:pPr>
        <w:pStyle w:val="123"/>
        <w:tabs>
          <w:tab w:val="left" w:pos="189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3.3.2 </w:t>
      </w:r>
      <w:r>
        <w:rPr>
          <w:rFonts w:ascii="方正仿宋_GBK" w:eastAsia="方正仿宋_GBK" w:cs="宋体" w:hint="eastAsia"/>
          <w:b/>
          <w:color w:val="000000"/>
          <w:sz w:val="32"/>
          <w:szCs w:val="32"/>
          <w:lang w:bidi="ar-SA"/>
        </w:rPr>
        <w:t>疫情诊断程序</w:t>
      </w:r>
    </w:p>
    <w:p>
      <w:pPr>
        <w:pStyle w:val="123"/>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（1）怀疑为重大动物疫情</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根据动物的临床症状、病理学变化和流行病学规律，经专家现场诊断是否怀疑为重大动物疫情。</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（2）疑似重大动物疫情</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由呼和浩特海关指定的具备相应生物安全措施的实验室，按照有关标准或有关双边检疫协定（含检疫条款、议定书、备忘录等）进行检测，并根据检测结果确定为重大动物疫情疑似病例。</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（3）确诊</w:t>
      </w:r>
    </w:p>
    <w:p>
      <w:pPr>
        <w:pStyle w:val="123"/>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发现重大动物疫情疑似病例的，由呼和浩特海关指定的实验室将检测样品送海关总署指定的实验室，做病原分离与鉴定，鉴定结果作为重大动物疫情的确诊依据。</w:t>
      </w:r>
    </w:p>
    <w:p>
      <w:pPr>
        <w:pStyle w:val="123"/>
        <w:shd w:val="clear" w:color="auto" w:fill="FFFFFF"/>
        <w:spacing w:line="560" w:lineRule="exact"/>
        <w:ind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3.4 </w:t>
      </w:r>
      <w:r>
        <w:rPr>
          <w:rFonts w:ascii="方正楷体_GBK" w:eastAsia="方正楷体_GBK" w:cs="宋体" w:hint="eastAsia"/>
          <w:b/>
          <w:color w:val="000000"/>
          <w:sz w:val="32"/>
          <w:szCs w:val="32"/>
          <w:lang w:bidi="ar-SA"/>
        </w:rPr>
        <w:t>预警</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海关组织对预警信息进行分析。</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按照重大动物疫情的发生、发展规律和特点，分析其危害程度、可能的发展趋势，及时做出特别严重、严重、较重和一般四个级别的预警。</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根据分析结果和职责权限，向有关国家，境内外生产、加工和存放企业以及海关单位发布进出境重大动物疫情警示通报（附件2）或公告，公布应急处置措施。</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4 </w:t>
      </w:r>
      <w:r>
        <w:rPr>
          <w:rFonts w:ascii="方正黑体_GBK" w:eastAsia="方正黑体_GBK" w:cs="宋体" w:hint="eastAsia"/>
          <w:color w:val="000000"/>
          <w:sz w:val="32"/>
          <w:szCs w:val="32"/>
          <w:lang w:bidi="ar-SA"/>
        </w:rPr>
        <w:t>应急响应</w:t>
      </w:r>
    </w:p>
    <w:p>
      <w:pPr>
        <w:pStyle w:val="123"/>
        <w:shd w:val="clear" w:color="auto" w:fill="FFFFFF"/>
        <w:spacing w:line="560" w:lineRule="exact"/>
        <w:ind w:firstLine="640"/>
        <w:jc w:val="both"/>
        <w:rPr>
          <w:rFonts w:ascii="方正楷体_GBK" w:eastAsia="方正楷体_GBK" w:cs="宋体" w:hint="eastAsia"/>
          <w:b/>
          <w:bCs/>
          <w:color w:val="000000"/>
          <w:sz w:val="32"/>
          <w:szCs w:val="32"/>
          <w:lang w:bidi="ar-SA"/>
        </w:rPr>
      </w:pPr>
      <w:bookmarkStart w:id="10" w:name="_Toc8660025"/>
      <w:bookmarkStart w:id="11" w:name="_Toc79529248"/>
      <w:bookmarkStart w:id="12" w:name="_Toc79529350"/>
      <w:r>
        <w:rPr>
          <w:rFonts w:ascii="Times New Roman" w:eastAsia="方正楷体_GBK" w:cs="Times New Roman" w:hAnsi="Times New Roman"/>
          <w:b/>
          <w:bCs/>
          <w:color w:val="000000"/>
          <w:sz w:val="32"/>
          <w:szCs w:val="32"/>
          <w:lang w:bidi="ar-SA"/>
        </w:rPr>
        <w:t>4.1</w:t>
      </w:r>
      <w:r>
        <w:rPr>
          <w:rFonts w:ascii="方正楷体_GBK" w:eastAsia="方正楷体_GBK" w:cs="宋体" w:hint="eastAsia"/>
          <w:b/>
          <w:bCs/>
          <w:color w:val="000000"/>
          <w:sz w:val="32"/>
          <w:szCs w:val="32"/>
          <w:lang w:bidi="ar-SA"/>
        </w:rPr>
        <w:t>应急响应原则</w:t>
      </w:r>
    </w:p>
    <w:p>
      <w:pPr>
        <w:pStyle w:val="123"/>
        <w:tabs>
          <w:tab w:val="left" w:pos="189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4.1.1</w:t>
      </w:r>
      <w:r>
        <w:rPr>
          <w:rFonts w:ascii="方正仿宋_GBK" w:eastAsia="方正仿宋_GBK" w:cs="宋体" w:hint="eastAsia"/>
          <w:b/>
          <w:color w:val="000000"/>
          <w:sz w:val="32"/>
          <w:szCs w:val="32"/>
          <w:lang w:bidi="ar-SA"/>
        </w:rPr>
        <w:t>分类响应</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发生一类（A类）疫情预警，疫情有可能传入并危害动物安全和人体健康时，海关总署会同有关部门联合发布公告或发布进出境重大动物疫情警示通报，采取紧急预防措施。</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发生二类（B类）疫情预警，疫情有可能传出国境时，根据疫情范围和严重程度，海关总署配合有关部门启动与《国家突发重大动物疫情应急预案》相适应的紧急预防措施。</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发生三类（C类）疫情预警时，海关总署或呼和浩特海关根据情况启动本级应急预案。对影响国际贸易的重大动物疫情，按照要求向相关国际组织或国家通报。</w:t>
      </w:r>
    </w:p>
    <w:p>
      <w:pPr>
        <w:pStyle w:val="123"/>
        <w:tabs>
          <w:tab w:val="left" w:pos="189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4.1.2</w:t>
      </w:r>
      <w:r>
        <w:rPr>
          <w:rFonts w:ascii="方正仿宋_GBK" w:eastAsia="方正仿宋_GBK" w:cs="宋体" w:hint="eastAsia"/>
          <w:b/>
          <w:color w:val="000000"/>
          <w:sz w:val="32"/>
          <w:szCs w:val="32"/>
          <w:lang w:bidi="ar-SA"/>
        </w:rPr>
        <w:t>分级启动</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bCs/>
          <w:color w:val="000000"/>
          <w:sz w:val="32"/>
          <w:szCs w:val="32"/>
          <w:lang w:bidi="ar-SA"/>
        </w:rPr>
      </w:pPr>
      <w:r>
        <w:rPr>
          <w:rFonts w:ascii="方正仿宋_GBK" w:eastAsia="方正仿宋_GBK" w:cs="宋体" w:hint="eastAsia"/>
          <w:color w:val="000000"/>
          <w:sz w:val="32"/>
          <w:szCs w:val="32"/>
          <w:lang w:bidi="ar-SA"/>
        </w:rPr>
        <w:t>海关总署负责启动全国范围的紧急预防、应对和应急措施。呼和浩特海关、隶属海关分别负责启动本级关区范围内的紧急预防、应对和应急措施。</w:t>
      </w:r>
      <w:bookmarkEnd w:id="10"/>
      <w:bookmarkEnd w:id="11"/>
      <w:bookmarkEnd w:id="12"/>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4.2</w:t>
      </w:r>
      <w:r>
        <w:rPr>
          <w:rFonts w:ascii="方正楷体_GBK" w:eastAsia="方正楷体_GBK" w:cs="宋体" w:hint="eastAsia"/>
          <w:b/>
          <w:color w:val="000000"/>
          <w:sz w:val="32"/>
          <w:szCs w:val="32"/>
          <w:lang w:bidi="ar-SA"/>
        </w:rPr>
        <w:t xml:space="preserve"> 处置实施</w:t>
      </w:r>
    </w:p>
    <w:p>
      <w:pPr>
        <w:pStyle w:val="123"/>
        <w:tabs>
          <w:tab w:val="left" w:pos="168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4.2.1</w:t>
      </w:r>
      <w:r>
        <w:rPr>
          <w:rFonts w:ascii="方正仿宋_GBK" w:eastAsia="方正仿宋_GBK" w:cs="宋体" w:hint="eastAsia"/>
          <w:b/>
          <w:color w:val="000000"/>
          <w:sz w:val="32"/>
          <w:szCs w:val="32"/>
          <w:lang w:bidi="ar-SA"/>
        </w:rPr>
        <w:t xml:space="preserve"> 一类（</w:t>
      </w:r>
      <w:r>
        <w:rPr>
          <w:rFonts w:ascii="方正仿宋_GBK" w:eastAsia="方正仿宋_GBK" w:hint="eastAsia"/>
          <w:b/>
          <w:color w:val="000000"/>
          <w:sz w:val="32"/>
          <w:szCs w:val="32"/>
        </w:rPr>
        <w:t>A</w:t>
      </w:r>
      <w:r>
        <w:rPr>
          <w:rFonts w:ascii="方正仿宋_GBK" w:eastAsia="方正仿宋_GBK" w:cs="宋体" w:hint="eastAsia"/>
          <w:b/>
          <w:color w:val="000000"/>
          <w:sz w:val="32"/>
          <w:szCs w:val="32"/>
          <w:lang w:bidi="ar-SA"/>
        </w:rPr>
        <w:t>类）疫情预警时的紧急预防措施</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（1）在毗邻疫区的边境地区和入境货物主要集散地区开展疫情监测。</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（2）停止签发从疫区国家或地区进口相关动物及其产品的《进境动植物检疫许可证》，撤销已经签发的《进境动植物检疫许可证》。</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禁止直接或间接从疫区国家或地区输入相关动物及其产品。对已运抵口岸尚未办理报关手续的，一律作退回或销毁处理；对已办理报关手续，尚未放行的，应加强对相关疫病的检测和防疫工作，经检疫合格后放行。</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4）禁止疫区国家或地区的相关动物及其产品过境。对已进入我国境内的来自疫区国家或地区的相关过境动物及其产品，派海关监管人员严格监管，押运到出境口岸。运输途中发现重大疫情或疑似重大疫情的，按照本预案4.2.3有关措施处理。</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5）禁止寄递或旅客携带来自疫区的相关动物及其产品进境。加强对旅客携带（包含托运，下同）物品和寄递物品的查验，加大对来自疫区的入境旅客携带物的抽查比例，一经发现来自疫区的相关动物及其产品，一律作退回或销毁处理。</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6）加强对来自疫区运输工具的检疫和防疫消毒。对途经我国或在我国停留的国际航行船舶、飞机、火车、汽车等运输工具进行检疫，如发现有来自疫区的相关动物及其产品，一律作封存处理，且在我国境内停留或者运行期间，未经海关许可，不得启封动用；其交通员工自养的伴侣动物，必须装入完好的笼具中，不得带离运输工具；其废弃物、泔水等，一律在海关的监督下作无害化处理，不得擅自抛弃；对运输工具和装载容器的相关部位进行防疫消毒。必要时，对入境旅客的鞋底实施消毒处理。</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（7）加强与公安边防等有关部门配合，打击走私进境动物或动物产品等违法活动，监督对截获来自疫区的非法入境动物及其产品的销毁处理。</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8）毗邻国家或者地区发生重大动物疫情时，根据国家或者当地人民政府的规定，配合有关部门开展受疫情威胁边境地区的易感动物的紧急免疫，建立有效免疫防护带；配合有关部门关闭相关动物交易市场，停止边境地区相关动物及其产品的交易活动。</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（9）除了已采取集装箱装运等管理措施有效且消除了疫情传播风险的进境动物产品外，其他进境的相关动物及其产品不得途经疫区国家或地区，或者在疫区国家或地区中转。否则视为来自疫区的动物及其产品。</w:t>
      </w:r>
    </w:p>
    <w:p>
      <w:pPr>
        <w:pStyle w:val="123"/>
        <w:tabs>
          <w:tab w:val="left" w:pos="168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4.2.2 </w:t>
      </w:r>
      <w:r>
        <w:rPr>
          <w:rFonts w:ascii="方正仿宋_GBK" w:eastAsia="方正仿宋_GBK" w:cs="宋体" w:hint="eastAsia"/>
          <w:b/>
          <w:color w:val="000000"/>
          <w:sz w:val="32"/>
          <w:szCs w:val="32"/>
          <w:lang w:bidi="ar-SA"/>
        </w:rPr>
        <w:t>二类（</w:t>
      </w:r>
      <w:r>
        <w:rPr>
          <w:rFonts w:ascii="方正仿宋_GBK" w:eastAsia="方正仿宋_GBK" w:hint="eastAsia"/>
          <w:b/>
          <w:color w:val="000000"/>
          <w:sz w:val="32"/>
          <w:szCs w:val="32"/>
        </w:rPr>
        <w:t>B</w:t>
      </w:r>
      <w:r>
        <w:rPr>
          <w:rFonts w:ascii="方正仿宋_GBK" w:eastAsia="方正仿宋_GBK" w:cs="宋体" w:hint="eastAsia"/>
          <w:b/>
          <w:color w:val="000000"/>
          <w:sz w:val="32"/>
          <w:szCs w:val="32"/>
          <w:lang w:bidi="ar-SA"/>
        </w:rPr>
        <w:t>类）疫情预警时的紧急预防措施</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1）加强出口货物的查验，停止办理来自疫区和受疫情威胁区的相关动物及其产品的出口检疫手续。停止办理出口检疫手续的货物种类和疫区范围按有关国家或地区发布的暂停我国动物或动物产品进口相关通报执行。</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（2）对在疫区生产的出口动物产品及其加工原料，已办理通关手续正在运输途中的应立即召回。</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（3）加强与当地动物防疫部门的联系、沟通和协调，了解疫区划分、疫情控制措施及结果、诊断结果等情况，配合做好疫病控制工作。</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（4）暂停使用位于疫区的进出境相关动物临时隔离检疫场。对正在使用的，按照国家有关规定处理。</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（5）过境相关动物的运输路线不得途经疫区。已经进入疫区的，应按照国家有关疫区动物运输的规定处理，并采取严格防疫措施。</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（6）加强对非疫区出口养殖场、屠宰和加工企业的监督管理，加强出口前的检查和养殖场的疫情监测，保证出口动物及其产品的健康、安全。</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（7）对实行免疫政策的非疫区出口动物及其产品，要确保能够满足进口国家或者地区的检疫卫生要求。进口国家和地区有非免疫要求的，不得出口已经免疫的动物及其产品。</w:t>
      </w:r>
    </w:p>
    <w:p>
      <w:pPr>
        <w:pStyle w:val="123"/>
        <w:tabs>
          <w:tab w:val="left" w:pos="1680"/>
        </w:tabs>
        <w:snapToGrid w:val="0"/>
        <w:spacing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（8）在应对措施执行期间，相关现场指挥中心应当及时向呼和浩特海关指挥中心报告重大动物疫情的应对措施实施情况；呼和浩特海关指挥中心办公室汇总后及时向海关总署指挥中心办公室报告。</w:t>
      </w:r>
    </w:p>
    <w:p>
      <w:pPr>
        <w:pStyle w:val="123"/>
        <w:tabs>
          <w:tab w:val="left" w:pos="1680"/>
        </w:tabs>
        <w:snapToGrid w:val="0"/>
        <w:spacing w:line="560" w:lineRule="exact"/>
        <w:ind w:firstLineChars="200" w:firstLine="640"/>
        <w:jc w:val="both"/>
        <w:rPr>
          <w:rFonts w:ascii="方正仿宋_GBK" w:eastAsia="方正仿宋_GBK" w:cs="宋体" w:hint="eastAsia"/>
          <w:b/>
          <w:color w:val="000000"/>
          <w:sz w:val="32"/>
          <w:szCs w:val="32"/>
          <w:lang w:bidi="ar-SA"/>
        </w:rPr>
      </w:pPr>
      <w:r>
        <w:rPr>
          <w:rFonts w:ascii="Times New Roman" w:eastAsia="方正楷体_GBK" w:cs="Times New Roman" w:hAnsi="Times New Roman"/>
          <w:b/>
          <w:bCs/>
          <w:color w:val="000000"/>
          <w:sz w:val="32"/>
          <w:szCs w:val="32"/>
          <w:lang w:bidi="ar-SA"/>
        </w:rPr>
        <w:t>4.2.3</w:t>
      </w:r>
      <w:r>
        <w:rPr>
          <w:rFonts w:ascii="方正仿宋_GBK" w:eastAsia="方正仿宋_GBK" w:cs="宋体" w:hint="eastAsia"/>
          <w:b/>
          <w:color w:val="000000"/>
          <w:sz w:val="32"/>
          <w:szCs w:val="32"/>
          <w:lang w:bidi="ar-SA"/>
        </w:rPr>
        <w:t xml:space="preserve"> 三类（</w:t>
      </w:r>
      <w:r>
        <w:rPr>
          <w:rFonts w:ascii="方正仿宋_GBK" w:eastAsia="方正仿宋_GBK" w:hint="eastAsia"/>
          <w:b/>
          <w:color w:val="000000"/>
          <w:sz w:val="32"/>
          <w:szCs w:val="32"/>
        </w:rPr>
        <w:t>C</w:t>
      </w:r>
      <w:r>
        <w:rPr>
          <w:rFonts w:ascii="方正仿宋_GBK" w:eastAsia="方正仿宋_GBK" w:cs="宋体" w:hint="eastAsia"/>
          <w:b/>
          <w:color w:val="000000"/>
          <w:sz w:val="32"/>
          <w:szCs w:val="32"/>
          <w:lang w:bidi="ar-SA"/>
        </w:rPr>
        <w:t>类）疫情预警时的紧急预防措施</w:t>
      </w:r>
    </w:p>
    <w:p>
      <w:pPr>
        <w:pStyle w:val="123"/>
        <w:tabs>
          <w:tab w:val="left" w:pos="1680"/>
        </w:tabs>
        <w:snapToGrid w:val="0"/>
        <w:spacing w:line="560" w:lineRule="exact"/>
        <w:ind w:firstLineChars="200" w:firstLine="640"/>
        <w:jc w:val="both"/>
        <w:rPr>
          <w:rFonts w:ascii="方正仿宋_GBK" w:eastAsia="方正仿宋_GBK" w:cs="宋体" w:hint="eastAsia"/>
          <w:sz w:val="32"/>
          <w:lang w:bidi="ar-SA"/>
        </w:rPr>
      </w:pPr>
      <w:r>
        <w:rPr>
          <w:rFonts w:ascii="Times New Roman" w:eastAsia="方正楷体_GBK" w:cs="Times New Roman" w:hAnsi="Times New Roman"/>
          <w:b/>
          <w:bCs/>
          <w:color w:val="000000"/>
          <w:sz w:val="32"/>
          <w:szCs w:val="32"/>
          <w:lang w:bidi="ar-SA"/>
        </w:rPr>
        <w:t>4.2.3.1</w:t>
      </w:r>
      <w:r>
        <w:rPr>
          <w:rFonts w:ascii="方正仿宋_GBK" w:eastAsia="方正仿宋_GBK" w:cs="宋体" w:hint="eastAsia"/>
          <w:sz w:val="32"/>
          <w:lang w:bidi="ar-SA"/>
        </w:rPr>
        <w:t>经初步诊断怀疑为重大动物疫情时的应急措施</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（1）暂停办理相关动物及其产品的出入境检疫手续，过境动物或动物产品暂停运输。</w:t>
      </w:r>
    </w:p>
    <w:p>
      <w:pPr>
        <w:pStyle w:val="123"/>
        <w:tabs>
          <w:tab w:val="left" w:pos="1680"/>
        </w:tabs>
        <w:snapToGrid w:val="0"/>
        <w:spacing w:after="0" w:line="560" w:lineRule="exact"/>
        <w:ind w:firstLineChars="200" w:firstLine="640"/>
        <w:jc w:val="both"/>
        <w:rPr>
          <w:rFonts w:ascii="方正仿宋_GBK" w:eastAsia="方正仿宋_GBK" w:cs="宋体" w:hint="eastAsia"/>
          <w:sz w:val="32"/>
          <w:lang w:bidi="ar-SA"/>
        </w:rPr>
      </w:pPr>
      <w:r>
        <w:rPr>
          <w:rFonts w:ascii="方正仿宋_GBK" w:eastAsia="方正仿宋_GBK" w:cs="宋体" w:hint="eastAsia"/>
          <w:sz w:val="32"/>
          <w:lang w:bidi="ar-SA"/>
        </w:rPr>
        <w:t>（2）严格限制人员、其他动物和产品、病料、器具、运输工具和其他可能受污染的物品等进出控制场所，严禁无关人员和车辆出入控制场所，所有必须出入控制场所的人员和车辆，必须经海关批准，经严格消毒后，方可出入，并且实行出入登记制度。对控制场所内的所有运载工具、用具、圈舍、场地、饲料和用水等进行彻底消毒；对动物粪便、垫料等可能受污染的物品进行无害化处理。</w:t>
      </w:r>
    </w:p>
    <w:p>
      <w:pPr>
        <w:pStyle w:val="123"/>
        <w:tabs>
          <w:tab w:val="left" w:pos="168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sz w:val="32"/>
          <w:lang w:bidi="ar-SA"/>
        </w:rPr>
        <w:t>（3）采集病料送呼和浩特海关指定的实验室进行诊断。</w:t>
      </w:r>
    </w:p>
    <w:p>
      <w:pPr>
        <w:pStyle w:val="123"/>
        <w:tabs>
          <w:tab w:val="left" w:pos="168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
          <w:bCs/>
          <w:color w:val="000000"/>
          <w:sz w:val="32"/>
          <w:szCs w:val="32"/>
          <w:lang w:bidi="ar-SA"/>
        </w:rPr>
        <w:t>4.2.3.2</w:t>
      </w:r>
      <w:r>
        <w:rPr>
          <w:rFonts w:ascii="方正仿宋_GBK" w:eastAsia="方正仿宋_GBK" w:cs="宋体" w:hint="eastAsia"/>
          <w:color w:val="000000"/>
          <w:sz w:val="32"/>
          <w:szCs w:val="32"/>
          <w:lang w:bidi="ar-SA"/>
        </w:rPr>
        <w:t>经诊断为重大动物疫情疑似病例后的应急措施</w:t>
      </w:r>
    </w:p>
    <w:p>
      <w:pPr>
        <w:pStyle w:val="123"/>
        <w:tabs>
          <w:tab w:val="left" w:pos="168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（1）样品必须以最快的方式送海关总署或农业农村部认可的实验室进行确诊。</w:t>
      </w:r>
    </w:p>
    <w:p>
      <w:pPr>
        <w:pStyle w:val="123"/>
        <w:tabs>
          <w:tab w:val="left" w:pos="168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（2）协助当地畜牧兽医主管部门，对控制区域采取封锁措施，做好疫情控制和扑灭工作。</w:t>
      </w:r>
    </w:p>
    <w:p>
      <w:pPr>
        <w:pStyle w:val="123"/>
        <w:tabs>
          <w:tab w:val="left" w:pos="168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
          <w:bCs/>
          <w:color w:val="000000"/>
          <w:sz w:val="32"/>
          <w:szCs w:val="32"/>
          <w:lang w:bidi="ar-SA"/>
        </w:rPr>
        <w:t xml:space="preserve">4.2.3.3 </w:t>
      </w:r>
      <w:r>
        <w:rPr>
          <w:rFonts w:ascii="方正仿宋_GBK" w:eastAsia="方正仿宋_GBK" w:cs="宋体" w:hint="eastAsia"/>
          <w:color w:val="000000"/>
          <w:sz w:val="32"/>
          <w:szCs w:val="32"/>
          <w:lang w:bidi="ar-SA"/>
        </w:rPr>
        <w:t>对确诊为重大动物疫情后的应急措施</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对进境或者过境动物及其动物产品，确诊为进境动物一类传染病、寄生虫病的，按照农业农村部《病死及病害动物无害化处理技术规范》（农医发〔2017〕25号）规定的处理方法，对全群或者整批动物产品作扑杀或者销毁处理。对进境或过境动物的运输工具、装载容器、被污染场地等进行严格消毒。</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（2）控制场所和控制区域做彻底消毒处理。</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（3）进境动物、过境动物和进出口动物产品的控制场所和控制区域经彻底消毒后可以解除封锁控制。</w:t>
      </w:r>
    </w:p>
    <w:p>
      <w:pPr>
        <w:pStyle w:val="123"/>
        <w:tabs>
          <w:tab w:val="left" w:pos="1260"/>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（4）现场应急指挥部向呼和浩特海关应急指挥部书面报告处理结果，呼和浩特海关应急指挥部向总署应急指挥部书面报告处理结果。开展流行病学调查，向境内产地畜牧兽医行政主管部门反馈疫情信息。</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在出境动物和动物产品检疫过程中发现疑似重大动物疫情，呼和浩特海关应第一时间报告地方政府和总署应急指挥部，同时配合地方政府做好疑似重大动物疫情应急处置工作，及时将地方政府应急处置情况报告总署应急指挥部。</w:t>
      </w:r>
    </w:p>
    <w:p>
      <w:pPr>
        <w:pStyle w:val="123"/>
        <w:tabs>
          <w:tab w:val="left" w:pos="1260"/>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Times New Roman" w:eastAsia="方正楷体_GBK" w:cs="Times New Roman" w:hAnsi="Times New Roman"/>
          <w:b/>
          <w:bCs/>
          <w:color w:val="000000"/>
          <w:sz w:val="32"/>
          <w:szCs w:val="32"/>
          <w:lang w:bidi="ar-SA"/>
        </w:rPr>
        <w:t xml:space="preserve">4.2.3.4 </w:t>
      </w:r>
      <w:r>
        <w:rPr>
          <w:rFonts w:ascii="方正仿宋_GBK" w:eastAsia="方正仿宋_GBK" w:cs="宋体" w:hint="eastAsia"/>
          <w:color w:val="000000"/>
          <w:sz w:val="32"/>
          <w:szCs w:val="32"/>
          <w:lang w:bidi="ar-SA"/>
        </w:rPr>
        <w:t>有关国家或地区检疫部门通报我国出口动物及其产品中检出重大动物疫情时的应急措施。</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（1）总署应急指挥部组织有关专家对进口国的检疫结果进行确认，发布预警通报。</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（2）呼和浩特海关根据预警通报，对出口动物的饲养场、出口食用动物和动物产品注册或备案饲养场、生产加工单位等进行流行病学溯源调查。</w:t>
      </w:r>
    </w:p>
    <w:p>
      <w:pPr>
        <w:pStyle w:val="123"/>
        <w:tabs>
          <w:tab w:val="left" w:pos="1890"/>
        </w:tabs>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（3）经流行病学调查，发现或疑似重大动物疫情的，及时启动相应的应急措施。</w:t>
      </w:r>
    </w:p>
    <w:p>
      <w:pPr>
        <w:pStyle w:val="123"/>
        <w:tabs>
          <w:tab w:val="left" w:pos="1890"/>
        </w:tabs>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4.3 </w:t>
      </w:r>
      <w:r>
        <w:rPr>
          <w:rFonts w:ascii="方正楷体_GBK" w:eastAsia="方正楷体_GBK" w:cs="宋体" w:hint="eastAsia"/>
          <w:b/>
          <w:color w:val="000000"/>
          <w:sz w:val="32"/>
          <w:szCs w:val="32"/>
          <w:lang w:bidi="ar-SA"/>
        </w:rPr>
        <w:t>行动终止</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根据下列情况之一，总署、总关及隶属海关应急指挥部发布《进出境重大动物疫情解除通报》（附件3），终止预案的实施。</w:t>
      </w:r>
    </w:p>
    <w:p>
      <w:pPr>
        <w:pStyle w:val="123"/>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（1）有关国家或地区政府主管部门和国际相关组织宣布解除重大动物疫情或者疑似重大动物疫情并经我国确认。</w:t>
      </w:r>
    </w:p>
    <w:p>
      <w:pPr>
        <w:pStyle w:val="123"/>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 xml:space="preserve">（2）对境内重大动物疫情或者疑似重大动物疫情，根据农业农村部（或地方政府）发布的疫情解除通报。  </w:t>
      </w:r>
    </w:p>
    <w:p>
      <w:pPr>
        <w:pStyle w:val="123"/>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（3）对检疫工作中发现的重大动物疫情或者疑似重大动物疫情，按规定程序经最终诊断确认为非重大动物疫情，或者通过采取有关应急措施，经考核验收，确认疫情已消除时。</w:t>
      </w:r>
    </w:p>
    <w:p>
      <w:pPr>
        <w:pStyle w:val="123"/>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（4）有关国家或地区检疫主管部门通报从我国进口的动物或动物产品中检出重大疫情后，经跟踪调查和疫情监测未发现重大疫情，或通过采取有关应急措施，经考核验收，确认疫情已消除时。</w:t>
      </w:r>
    </w:p>
    <w:p>
      <w:pPr>
        <w:pStyle w:val="123"/>
        <w:tabs>
          <w:tab w:val="left" w:pos="1890"/>
        </w:tabs>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4.4 </w:t>
      </w:r>
      <w:r>
        <w:rPr>
          <w:rFonts w:ascii="方正楷体_GBK" w:eastAsia="方正楷体_GBK" w:cs="宋体" w:hint="eastAsia"/>
          <w:b/>
          <w:color w:val="000000"/>
          <w:sz w:val="32"/>
          <w:szCs w:val="32"/>
          <w:lang w:bidi="ar-SA"/>
        </w:rPr>
        <w:t>安全防护</w:t>
      </w:r>
    </w:p>
    <w:p>
      <w:pPr>
        <w:pStyle w:val="123"/>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采取预防、应对和应急等措施时，工作人员应采取必要的个人防护措施，离开疫区前必须经过彻底的消毒，定期进行体检。</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5 </w:t>
      </w:r>
      <w:r>
        <w:rPr>
          <w:rFonts w:ascii="方正黑体_GBK" w:eastAsia="方正黑体_GBK" w:cs="宋体" w:hint="eastAsia"/>
          <w:color w:val="000000"/>
          <w:sz w:val="32"/>
          <w:szCs w:val="32"/>
          <w:lang w:bidi="ar-SA"/>
        </w:rPr>
        <w:t>应急保障</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5.1 </w:t>
      </w:r>
      <w:r>
        <w:rPr>
          <w:rFonts w:ascii="方正楷体_GBK" w:eastAsia="方正楷体_GBK" w:cs="宋体" w:hint="eastAsia"/>
          <w:b/>
          <w:color w:val="000000"/>
          <w:sz w:val="32"/>
          <w:szCs w:val="32"/>
          <w:lang w:bidi="ar-SA"/>
        </w:rPr>
        <w:t>人员保障</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各级应急指挥部在重大动物疫情应急预案实施期间，安排人员24小时值班，保障信息畅通。各主要负责人员和各单位之间要保持畅通的通讯联系，保证协调一致，责任确定到人。</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5.2 </w:t>
      </w:r>
      <w:r>
        <w:rPr>
          <w:rFonts w:ascii="方正楷体_GBK" w:eastAsia="方正楷体_GBK" w:cs="宋体" w:hint="eastAsia"/>
          <w:b/>
          <w:color w:val="000000"/>
          <w:sz w:val="32"/>
          <w:szCs w:val="32"/>
          <w:lang w:bidi="ar-SA"/>
        </w:rPr>
        <w:t>物资保障</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总关、隶属海关建立预防、应对和应急物资储备库，指定专门部门负责管理。重点储备防护用品、消毒设施、消毒药品、诊断试剂、通讯工具等物品。</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（1）进出境重大动物疫情防治应选择有效的消毒方法和消毒药剂。</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常用的消毒方法：金属设施设备可采取火焰、熏蒸等消毒方式；圈舍、场地、车辆等可采用消毒液清洗、喷洒等消毒方式；饲料、垫料等可采取深埋发酵处理或焚烧处理等消毒方式；粪便等可采取堆积密封发酵或焚烧处理等消毒方式；人员可采取淋浴消毒；人员的衣帽鞋等可采取浸泡、高压灭菌等方式处理。</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常用消毒剂包括：氯制剂、碘制剂、过氧乙酸、复合酚制剂、烧碱、甲醛、高锰酸钾等。</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（2）进出境重大动物疫情应急常用物资</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包括：国家正式批准生产和使用的疫苗，诊断试剂及其设备、消毒药品和消毒器械、销毁处理器具、个人防护用品、防疫车、办公用品、通讯工具等。</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5.3 </w:t>
      </w:r>
      <w:r>
        <w:rPr>
          <w:rFonts w:ascii="方正楷体_GBK" w:eastAsia="方正楷体_GBK" w:cs="宋体" w:hint="eastAsia"/>
          <w:b/>
          <w:color w:val="000000"/>
          <w:sz w:val="32"/>
          <w:szCs w:val="32"/>
          <w:lang w:bidi="ar-SA"/>
        </w:rPr>
        <w:t>经费保障</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总关及隶属海关须确保重大动物疫情预防、应对和应急等工作所需经费。实施扑杀销毁动物、无害化处理或实施紧急强制免疫接种时所涉及的费用，按照国家有关规定处理。</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 xml:space="preserve">5.4 </w:t>
      </w:r>
      <w:r>
        <w:rPr>
          <w:rFonts w:ascii="方正楷体_GBK" w:eastAsia="方正楷体_GBK" w:cs="宋体" w:hint="eastAsia"/>
          <w:b/>
          <w:color w:val="000000"/>
          <w:sz w:val="32"/>
          <w:szCs w:val="32"/>
          <w:lang w:bidi="ar-SA"/>
        </w:rPr>
        <w:t>技术保障</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呼和浩特海关应加强实验室建设，配备必要的检测设备，建立动物疫病诊断实验室，负责本关区内重大动物疫病的现场诊断和实验室检测。</w:t>
      </w:r>
    </w:p>
    <w:p>
      <w:pPr>
        <w:pStyle w:val="144"/>
        <w:widowControl/>
        <w:snapToGrid w:val="0"/>
        <w:spacing w:after="200" w:line="560" w:lineRule="exact"/>
        <w:ind w:firstLine="601"/>
        <w:jc w:val="left"/>
        <w:rPr>
          <w:rFonts w:eastAsia="方正仿宋_GBK"/>
          <w:sz w:val="32"/>
        </w:rPr>
      </w:pPr>
      <w:r>
        <w:rPr>
          <w:rFonts w:eastAsia="方正仿宋_GBK"/>
          <w:sz w:val="32"/>
        </w:rPr>
        <w:t>组织相关人员参加海关总署定期举办的各种重大动物疫病检测技术培训，提高全系统重大动物疫病的检疫技术水平。</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5.5</w:t>
      </w:r>
      <w:r>
        <w:rPr>
          <w:rFonts w:ascii="方正楷体_GBK" w:eastAsia="方正楷体_GBK" w:cs="宋体" w:hint="eastAsia"/>
          <w:b/>
          <w:color w:val="000000"/>
          <w:sz w:val="32"/>
          <w:szCs w:val="32"/>
          <w:lang w:bidi="ar-SA"/>
        </w:rPr>
        <w:t>国际合作</w:t>
      </w:r>
    </w:p>
    <w:p>
      <w:pPr>
        <w:pStyle w:val="145"/>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呼和浩特海关加强与毗邻国家边境地海关的联系，密切关注国际重大动物疫情信息和动态，加强技术交流与合作，及时研究制定应对措施并不断完善各种检测方法，增强对重大动物疫情应急处置能力。</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6 </w:t>
      </w:r>
      <w:r>
        <w:rPr>
          <w:rFonts w:ascii="方正黑体_GBK" w:eastAsia="方正黑体_GBK" w:cs="宋体" w:hint="eastAsia"/>
          <w:color w:val="000000"/>
          <w:sz w:val="32"/>
          <w:szCs w:val="32"/>
          <w:lang w:bidi="ar-SA"/>
        </w:rPr>
        <w:t>预案管理</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Times New Roman" w:hAnsi="Times New Roman"/>
          <w:b/>
          <w:bCs/>
          <w:color w:val="000000"/>
          <w:sz w:val="32"/>
          <w:szCs w:val="32"/>
          <w:lang w:bidi="ar-SA"/>
        </w:rPr>
        <w:t>6.1</w:t>
      </w:r>
      <w:r>
        <w:rPr>
          <w:rFonts w:ascii="方正楷体_GBK" w:eastAsia="方正楷体_GBK" w:cs="宋体" w:hint="eastAsia"/>
          <w:b/>
          <w:color w:val="000000"/>
          <w:sz w:val="32"/>
          <w:szCs w:val="32"/>
          <w:lang w:bidi="ar-SA"/>
        </w:rPr>
        <w:t>预案演练</w:t>
      </w:r>
    </w:p>
    <w:p>
      <w:pPr>
        <w:pStyle w:val="146"/>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呼和浩特海关对参与进出境重大动物疫情预防、应对和应急等工作的有关人员进行基础知识、防护知识、处理方法、检测方法和设备使用进行培训，并按照预案组织实战演习，以检验、改善和强化各项应急处理能力及各部门协同作战能力。</w:t>
      </w:r>
    </w:p>
    <w:p>
      <w:pPr>
        <w:pStyle w:val="147"/>
        <w:spacing w:before="100" w:beforeAutospacing="1" w:after="100" w:afterAutospacing="1" w:line="560" w:lineRule="exact"/>
        <w:ind w:firstLineChars="200" w:firstLine="640"/>
        <w:outlineLvl w:val="9"/>
        <w:rPr>
          <w:rFonts w:ascii="Times New Roman" w:eastAsia="方正仿宋简体" w:hAnsi="Times New Roman"/>
          <w:bCs/>
          <w:color w:val="000000"/>
          <w:kern w:val="0"/>
          <w:sz w:val="32"/>
          <w:szCs w:val="32"/>
        </w:rPr>
      </w:pPr>
      <w:bookmarkStart w:id="13" w:name="_Toc8660037"/>
      <w:bookmarkStart w:id="14" w:name="_Toc79529260"/>
      <w:bookmarkStart w:id="15" w:name="_Toc79529362"/>
      <w:r>
        <w:rPr>
          <w:rFonts w:ascii="Times New Roman" w:eastAsia="方正楷体_GBK" w:hAnsi="Times New Roman"/>
          <w:bCs/>
          <w:color w:val="000000"/>
          <w:kern w:val="0"/>
          <w:sz w:val="32"/>
          <w:szCs w:val="32"/>
        </w:rPr>
        <w:t>6.2 预案评估与修订</w:t>
      </w:r>
      <w:bookmarkEnd w:id="13"/>
      <w:bookmarkEnd w:id="14"/>
      <w:bookmarkEnd w:id="15"/>
    </w:p>
    <w:p>
      <w:pPr>
        <w:pStyle w:val="148"/>
        <w:widowControl/>
        <w:snapToGrid w:val="0"/>
        <w:spacing w:before="100" w:beforeAutospacing="1" w:after="100" w:afterAutospacing="1" w:line="560" w:lineRule="exact"/>
        <w:ind w:firstLine="603"/>
        <w:rPr>
          <w:rFonts w:eastAsia="方正仿宋_GBK"/>
          <w:sz w:val="32"/>
        </w:rPr>
      </w:pPr>
      <w:r>
        <w:rPr>
          <w:rFonts w:eastAsia="方正仿宋_GBK"/>
          <w:sz w:val="32"/>
        </w:rPr>
        <w:t>重大动物疫情扑灭后，呼和浩特海关应组织有关人员，对突发进出境重大动物疫情处置情况进行评估，提出改进建议和措施。</w:t>
      </w:r>
    </w:p>
    <w:p>
      <w:pPr>
        <w:pStyle w:val="147"/>
        <w:spacing w:before="100" w:beforeAutospacing="1" w:after="100" w:afterAutospacing="1" w:line="560" w:lineRule="exact"/>
        <w:ind w:firstLineChars="200" w:firstLine="640"/>
        <w:outlineLvl w:val="9"/>
        <w:rPr>
          <w:rFonts w:ascii="方正楷体_GBK" w:eastAsia="方正楷体_GBK" w:cs="宋体" w:hint="eastAsia"/>
          <w:bCs/>
          <w:color w:val="000000"/>
          <w:kern w:val="0"/>
          <w:sz w:val="32"/>
          <w:szCs w:val="32"/>
          <w:lang w:bidi="ar-SA"/>
        </w:rPr>
      </w:pPr>
      <w:r>
        <w:rPr>
          <w:rFonts w:ascii="Times New Roman" w:eastAsia="方正楷体_GBK" w:cs="宋体" w:hAnsi="Times New Roman"/>
          <w:bCs/>
          <w:color w:val="000000"/>
          <w:kern w:val="0"/>
          <w:sz w:val="32"/>
          <w:szCs w:val="32"/>
          <w:lang w:bidi="ar-SA"/>
        </w:rPr>
        <w:t>6.3</w:t>
      </w:r>
      <w:r>
        <w:rPr>
          <w:rFonts w:ascii="方正楷体_GBK" w:eastAsia="方正楷体_GBK" w:cs="宋体" w:hint="eastAsia"/>
          <w:bCs/>
          <w:color w:val="000000"/>
          <w:kern w:val="0"/>
          <w:sz w:val="32"/>
          <w:szCs w:val="32"/>
          <w:lang w:bidi="ar-SA"/>
        </w:rPr>
        <w:t>宣传、培训和国际交流</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隶属海关应当通过网站、广播、电视等新闻媒体，开展形式多样的进出境动物检验检疫法律法规和动物重大疫病的危害和防治知识的宣传与普及，提高全社会防疫意识。</w:t>
      </w:r>
    </w:p>
    <w:p>
      <w:pPr>
        <w:pStyle w:val="149"/>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宋体" w:hAnsi="Times New Roman"/>
          <w:b/>
          <w:bCs/>
          <w:color w:val="000000"/>
          <w:sz w:val="32"/>
          <w:szCs w:val="32"/>
          <w:lang w:bidi="ar-SA"/>
        </w:rPr>
        <w:t>6.4</w:t>
      </w:r>
      <w:r>
        <w:rPr>
          <w:rFonts w:ascii="方正楷体_GBK" w:eastAsia="方正楷体_GBK" w:cs="宋体" w:hint="eastAsia"/>
          <w:b/>
          <w:color w:val="000000"/>
          <w:sz w:val="32"/>
          <w:szCs w:val="32"/>
          <w:lang w:bidi="ar-SA"/>
        </w:rPr>
        <w:t>奖惩与责任</w:t>
      </w:r>
    </w:p>
    <w:p>
      <w:pPr>
        <w:pStyle w:val="149"/>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对进出境重大动物疫情应急处置做出贡献的单位和个人给予表彰。对不认真贯彻实施本预案，违反预案或者玩忽职守，造成疫情扩散，给国家财产和人民生命造成损失的，将依法追究相关人员的法律责任。</w:t>
      </w:r>
    </w:p>
    <w:p>
      <w:pPr>
        <w:pStyle w:val="123"/>
        <w:snapToGrid w:val="0"/>
        <w:spacing w:line="560" w:lineRule="exact"/>
        <w:ind w:firstLineChars="200" w:firstLine="640"/>
        <w:jc w:val="both"/>
        <w:rPr>
          <w:rFonts w:ascii="方正黑体_GBK" w:eastAsia="方正黑体_GBK" w:cs="宋体" w:hint="eastAsia"/>
          <w:color w:val="000000"/>
          <w:sz w:val="32"/>
          <w:szCs w:val="32"/>
          <w:lang w:bidi="ar-SA"/>
        </w:rPr>
      </w:pPr>
      <w:r>
        <w:rPr>
          <w:rFonts w:ascii="Times New Roman" w:eastAsia="方正黑体_GBK" w:cs="Times New Roman" w:hAnsi="Times New Roman"/>
          <w:color w:val="000000"/>
          <w:sz w:val="32"/>
          <w:szCs w:val="32"/>
          <w:lang w:bidi="ar-SA"/>
        </w:rPr>
        <w:t xml:space="preserve">7 </w:t>
      </w:r>
      <w:r>
        <w:rPr>
          <w:rFonts w:ascii="方正黑体_GBK" w:eastAsia="方正黑体_GBK" w:cs="宋体" w:hint="eastAsia"/>
          <w:color w:val="000000"/>
          <w:sz w:val="32"/>
          <w:szCs w:val="32"/>
          <w:lang w:bidi="ar-SA"/>
        </w:rPr>
        <w:t xml:space="preserve"> 附则</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宋体" w:hAnsi="Times New Roman"/>
          <w:b/>
          <w:bCs/>
          <w:color w:val="000000"/>
          <w:sz w:val="32"/>
          <w:szCs w:val="32"/>
          <w:lang w:bidi="ar-SA"/>
        </w:rPr>
        <w:t xml:space="preserve">7.1 </w:t>
      </w:r>
      <w:r>
        <w:rPr>
          <w:rFonts w:ascii="方正楷体_GBK" w:eastAsia="方正楷体_GBK" w:cs="宋体" w:hint="eastAsia"/>
          <w:b/>
          <w:color w:val="000000"/>
          <w:sz w:val="32"/>
          <w:szCs w:val="32"/>
          <w:lang w:bidi="ar-SA"/>
        </w:rPr>
        <w:t>术语定义</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进境重大动物疫情</w:t>
      </w:r>
      <w:r>
        <w:rPr>
          <w:rFonts w:ascii="方正仿宋_GBK" w:eastAsia="方正仿宋_GBK" w:cs="宋体" w:hint="eastAsia"/>
          <w:bCs/>
          <w:color w:val="000000"/>
          <w:sz w:val="32"/>
          <w:szCs w:val="32"/>
          <w:lang w:bidi="ar-SA"/>
        </w:rPr>
        <w:t>：</w:t>
      </w:r>
      <w:r>
        <w:rPr>
          <w:rFonts w:ascii="方正仿宋_GBK" w:eastAsia="方正仿宋_GBK" w:cs="宋体" w:hint="eastAsia"/>
          <w:color w:val="000000"/>
          <w:sz w:val="32"/>
          <w:szCs w:val="32"/>
          <w:lang w:bidi="ar-SA"/>
        </w:rPr>
        <w:t>是指境外发生或流行、在进境动物检疫工作中检出或发现《中华人民共和国进境动物一、二类传染病、寄生虫病名录》中的一类传染病以及具有重要公共卫生意义的人畜共患病。</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出境重大动物疫情：</w:t>
      </w:r>
      <w:r>
        <w:rPr>
          <w:rFonts w:ascii="方正仿宋_GBK" w:eastAsia="方正仿宋_GBK" w:cs="宋体" w:hint="eastAsia"/>
          <w:color w:val="000000"/>
          <w:sz w:val="32"/>
          <w:szCs w:val="32"/>
          <w:lang w:bidi="ar-SA"/>
        </w:rPr>
        <w:t>是指境内发生或流行、在出境检验检疫中发现或疑似农业农村部根据《中华人民共和国动物防疫法》公布的一类动物疫病以及具有重要公共卫生意义的人畜共患病。</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进境动物一类传染病</w:t>
      </w:r>
      <w:r>
        <w:rPr>
          <w:rFonts w:ascii="方正仿宋_GBK" w:eastAsia="方正仿宋_GBK" w:cs="宋体" w:hint="eastAsia"/>
          <w:bCs/>
          <w:color w:val="000000"/>
          <w:sz w:val="32"/>
          <w:szCs w:val="32"/>
          <w:lang w:bidi="ar-SA"/>
        </w:rPr>
        <w:t>：</w:t>
      </w:r>
      <w:r>
        <w:rPr>
          <w:rFonts w:ascii="方正仿宋_GBK" w:eastAsia="方正仿宋_GBK" w:cs="宋体" w:hint="eastAsia"/>
          <w:color w:val="000000"/>
          <w:sz w:val="32"/>
          <w:szCs w:val="32"/>
          <w:lang w:bidi="ar-SA"/>
        </w:rPr>
        <w:t>包括口蹄疫、非洲猪瘟、猪水泡病、猪瘟、牛瘟、小反刍兽疫、蓝舌病、痒病、牛海绵状脑病、非洲马瘟、高致病性禽流感、新城疫、鸭瘟、牛肺疫、牛结节疹共15种疫病。上述所列的疫病名录如有修订，按新公布的名录执行。新发生的重大疫病按照海关总署有关规定执行。</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相关动物：</w:t>
      </w:r>
      <w:r>
        <w:rPr>
          <w:rFonts w:ascii="方正仿宋_GBK" w:eastAsia="方正仿宋_GBK" w:cs="宋体" w:hint="eastAsia"/>
          <w:color w:val="000000"/>
          <w:sz w:val="32"/>
          <w:szCs w:val="32"/>
          <w:lang w:bidi="ar-SA"/>
        </w:rPr>
        <w:t>是指具体动物疫病的易感动物，相关动物产品是指具有传播疫病风险的易感动物的产品。</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疫区和受威胁区：</w:t>
      </w:r>
      <w:r>
        <w:rPr>
          <w:rFonts w:ascii="方正仿宋_GBK" w:eastAsia="方正仿宋_GBK" w:cs="宋体" w:hint="eastAsia"/>
          <w:color w:val="000000"/>
          <w:sz w:val="32"/>
          <w:szCs w:val="32"/>
          <w:lang w:bidi="ar-SA"/>
        </w:rPr>
        <w:t>按照国家有关规定执行。</w:t>
      </w:r>
    </w:p>
    <w:p>
      <w:pPr>
        <w:pStyle w:val="123"/>
        <w:tabs>
          <w:tab w:val="left" w:pos="1890"/>
        </w:tabs>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b/>
          <w:bCs/>
          <w:color w:val="000000"/>
          <w:sz w:val="32"/>
          <w:szCs w:val="32"/>
          <w:lang w:bidi="ar-SA"/>
        </w:rPr>
        <w:t>控制场所：</w:t>
      </w:r>
      <w:r>
        <w:rPr>
          <w:rFonts w:ascii="方正仿宋_GBK" w:eastAsia="方正仿宋_GBK" w:cs="宋体" w:hint="eastAsia"/>
          <w:color w:val="000000"/>
          <w:sz w:val="32"/>
          <w:szCs w:val="32"/>
          <w:lang w:bidi="ar-SA"/>
        </w:rPr>
        <w:t>是指进境动物指定隔离检疫场或进境动物产品贮存库；出境动物饲养场或临时隔离检疫场，或出境动物产品生产、加</w:t>
      </w:r>
      <w:r>
        <w:rPr>
          <w:rFonts w:ascii="方正仿宋_GBK" w:eastAsia="方正仿宋_GBK" w:cs="宋体" w:hint="eastAsia"/>
          <w:color w:val="000000"/>
          <w:spacing w:val="-6"/>
          <w:sz w:val="32"/>
          <w:szCs w:val="32"/>
          <w:lang w:bidi="ar-SA"/>
        </w:rPr>
        <w:t>工、存放单位及原料动物的饲养场；过境动物或动物产品的运输工</w:t>
      </w:r>
      <w:r>
        <w:rPr>
          <w:rFonts w:ascii="方正仿宋_GBK" w:eastAsia="方正仿宋_GBK" w:cs="宋体" w:hint="eastAsia"/>
          <w:color w:val="000000"/>
          <w:sz w:val="32"/>
          <w:szCs w:val="32"/>
          <w:lang w:bidi="ar-SA"/>
        </w:rPr>
        <w:t>具。</w:t>
      </w:r>
    </w:p>
    <w:p>
      <w:pPr>
        <w:pStyle w:val="123"/>
        <w:tabs>
          <w:tab w:val="left" w:pos="1890"/>
        </w:tabs>
        <w:snapToGrid w:val="0"/>
        <w:spacing w:line="560" w:lineRule="exact"/>
        <w:ind w:firstLineChars="200" w:firstLine="616"/>
        <w:jc w:val="both"/>
        <w:rPr>
          <w:rFonts w:ascii="方正仿宋_GBK" w:eastAsia="方正仿宋_GBK" w:cs="宋体" w:hint="eastAsia"/>
          <w:color w:val="000000"/>
          <w:spacing w:val="-6"/>
          <w:sz w:val="32"/>
          <w:szCs w:val="32"/>
          <w:lang w:bidi="ar-SA"/>
        </w:rPr>
      </w:pPr>
      <w:r>
        <w:rPr>
          <w:rFonts w:ascii="方正仿宋_GBK" w:eastAsia="方正仿宋_GBK" w:cs="宋体" w:hint="eastAsia"/>
          <w:b/>
          <w:bCs/>
          <w:color w:val="000000"/>
          <w:spacing w:val="-6"/>
          <w:sz w:val="32"/>
          <w:szCs w:val="32"/>
          <w:lang w:bidi="ar-SA"/>
        </w:rPr>
        <w:t>控制区域：</w:t>
      </w:r>
      <w:r>
        <w:rPr>
          <w:rFonts w:ascii="方正仿宋_GBK" w:eastAsia="方正仿宋_GBK" w:cs="宋体" w:hint="eastAsia"/>
          <w:color w:val="000000"/>
          <w:spacing w:val="-6"/>
          <w:sz w:val="32"/>
          <w:szCs w:val="32"/>
          <w:lang w:bidi="ar-SA"/>
        </w:rPr>
        <w:t>是指一旦由于控制场所管理不严，而造成疫情可能扩散的区域。</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宋体" w:hAnsi="Times New Roman"/>
          <w:b/>
          <w:bCs/>
          <w:color w:val="000000"/>
          <w:sz w:val="32"/>
          <w:szCs w:val="32"/>
          <w:lang w:bidi="ar-SA"/>
        </w:rPr>
        <w:t>7.2</w:t>
      </w:r>
      <w:r>
        <w:rPr>
          <w:rFonts w:ascii="方正楷体_GBK" w:eastAsia="方正楷体_GBK" w:cs="宋体" w:hint="eastAsia"/>
          <w:b/>
          <w:color w:val="000000"/>
          <w:sz w:val="32"/>
          <w:szCs w:val="32"/>
          <w:lang w:bidi="ar-SA"/>
        </w:rPr>
        <w:t xml:space="preserve"> 预案管理与更新</w:t>
      </w:r>
    </w:p>
    <w:p>
      <w:pPr>
        <w:pStyle w:val="123"/>
        <w:snapToGrid w:val="0"/>
        <w:spacing w:after="0"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隶属海关应及时总结预案实施过程中发现的问题和不足，向呼和浩特海关提出科学、合理的改进建议。</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呼和浩特海关适时组织动物疫病防治专家对重大动物疫情应急预案进行评审，及时修改和更新本预案。</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宋体" w:hAnsi="Times New Roman"/>
          <w:b/>
          <w:bCs/>
          <w:color w:val="000000"/>
          <w:sz w:val="32"/>
          <w:szCs w:val="32"/>
          <w:lang w:bidi="ar-SA"/>
        </w:rPr>
        <w:t>7.3</w:t>
      </w:r>
      <w:r>
        <w:rPr>
          <w:rFonts w:ascii="方正楷体_GBK" w:eastAsia="方正楷体_GBK" w:cs="宋体" w:hint="eastAsia"/>
          <w:b/>
          <w:color w:val="000000"/>
          <w:sz w:val="32"/>
          <w:szCs w:val="32"/>
          <w:lang w:bidi="ar-SA"/>
        </w:rPr>
        <w:t>制定与解释部门</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本预案由呼和浩特海关制定并负责解释。</w:t>
      </w:r>
    </w:p>
    <w:p>
      <w:pPr>
        <w:pStyle w:val="123"/>
        <w:snapToGrid w:val="0"/>
        <w:spacing w:line="560" w:lineRule="exact"/>
        <w:ind w:firstLineChars="200" w:firstLine="640"/>
        <w:jc w:val="both"/>
        <w:rPr>
          <w:rFonts w:ascii="方正楷体_GBK" w:eastAsia="方正楷体_GBK" w:cs="宋体" w:hint="eastAsia"/>
          <w:b/>
          <w:color w:val="000000"/>
          <w:sz w:val="32"/>
          <w:szCs w:val="32"/>
          <w:lang w:bidi="ar-SA"/>
        </w:rPr>
      </w:pPr>
      <w:r>
        <w:rPr>
          <w:rFonts w:ascii="Times New Roman" w:eastAsia="方正楷体_GBK" w:cs="宋体" w:hAnsi="Times New Roman"/>
          <w:b/>
          <w:bCs/>
          <w:color w:val="000000"/>
          <w:sz w:val="32"/>
          <w:szCs w:val="32"/>
          <w:lang w:bidi="ar-SA"/>
        </w:rPr>
        <w:t xml:space="preserve">7.4 </w:t>
      </w:r>
      <w:r>
        <w:rPr>
          <w:rFonts w:ascii="方正楷体_GBK" w:eastAsia="方正楷体_GBK" w:cs="宋体" w:hint="eastAsia"/>
          <w:b/>
          <w:color w:val="000000"/>
          <w:sz w:val="32"/>
          <w:szCs w:val="32"/>
          <w:lang w:bidi="ar-SA"/>
        </w:rPr>
        <w:t>预案施行时间</w:t>
      </w:r>
    </w:p>
    <w:p>
      <w:pPr>
        <w:pStyle w:val="123"/>
        <w:snapToGrid w:val="0"/>
        <w:spacing w:line="560" w:lineRule="exact"/>
        <w:ind w:firstLineChars="200" w:firstLine="640"/>
        <w:jc w:val="both"/>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本预案自发布之日起施行。</w:t>
      </w: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line="600" w:lineRule="atLeast"/>
        <w:ind w:firstLineChars="200" w:firstLine="640"/>
        <w:rPr>
          <w:rFonts w:ascii="方正仿宋_GBK" w:eastAsia="方正仿宋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p>
    <w:p>
      <w:pPr>
        <w:pStyle w:val="123"/>
        <w:snapToGrid w:val="0"/>
        <w:spacing w:after="0" w:line="600" w:lineRule="atLeast"/>
        <w:rPr>
          <w:rFonts w:ascii="方正楷体_GBK" w:eastAsia="方正楷体_GBK" w:cs="宋体" w:hint="eastAsia"/>
          <w:color w:val="000000"/>
          <w:sz w:val="32"/>
          <w:szCs w:val="32"/>
          <w:lang w:bidi="ar-SA"/>
        </w:rPr>
      </w:pPr>
      <w:r>
        <w:rPr>
          <w:rFonts w:ascii="方正楷体_GBK" w:eastAsia="方正楷体_GBK" w:cs="宋体" w:hint="eastAsia"/>
          <w:color w:val="000000"/>
          <w:sz w:val="32"/>
          <w:szCs w:val="32"/>
          <w:lang w:bidi="ar-SA"/>
        </w:rPr>
        <w:t>附表1</w:t>
      </w:r>
    </w:p>
    <w:p>
      <w:pPr>
        <w:pStyle w:val="123"/>
        <w:tabs>
          <w:tab w:val="left" w:pos="1134"/>
          <w:tab w:val="left" w:pos="1890"/>
        </w:tabs>
        <w:snapToGrid w:val="0"/>
        <w:spacing w:line="360" w:lineRule="atLeast"/>
        <w:jc w:val="center"/>
        <w:rPr>
          <w:rFonts w:ascii="方正小标宋_GBK" w:eastAsia="方正小标宋_GBK" w:cs="宋体" w:hint="eastAsia"/>
          <w:color w:val="000000"/>
          <w:spacing w:val="-6"/>
          <w:sz w:val="32"/>
          <w:szCs w:val="32"/>
          <w:lang w:bidi="ar-SA"/>
        </w:rPr>
      </w:pPr>
      <w:r>
        <w:rPr>
          <w:rFonts w:ascii="方正小标宋_GBK" w:eastAsia="方正小标宋_GBK" w:cs="宋体" w:hint="eastAsia"/>
          <w:color w:val="000000"/>
          <w:spacing w:val="-6"/>
          <w:sz w:val="32"/>
          <w:szCs w:val="32"/>
          <w:lang w:bidi="ar-SA"/>
        </w:rPr>
        <w:t>进出境重大动物疫情信息预警表</w:t>
      </w:r>
    </w:p>
    <w:p>
      <w:pPr>
        <w:pStyle w:val="123"/>
        <w:tabs>
          <w:tab w:val="left" w:pos="1134"/>
          <w:tab w:val="left" w:pos="1890"/>
        </w:tabs>
        <w:snapToGrid w:val="0"/>
        <w:spacing w:after="0" w:line="340" w:lineRule="atLeast"/>
        <w:rPr>
          <w:rFonts w:ascii="方正仿宋_GBK" w:eastAsia="方正仿宋_GBK" w:cs="宋体" w:hint="eastAsia"/>
          <w:color w:val="000000"/>
          <w:sz w:val="28"/>
          <w:szCs w:val="28"/>
          <w:lang w:bidi="ar-SA"/>
        </w:rPr>
      </w:pPr>
      <w:r>
        <w:rPr>
          <w:rFonts w:ascii="方正仿宋_GBK" w:eastAsia="方正仿宋_GBK" w:cs="宋体" w:hint="eastAsia"/>
          <w:color w:val="000000"/>
          <w:spacing w:val="-6"/>
          <w:sz w:val="28"/>
          <w:szCs w:val="28"/>
          <w:lang w:bidi="ar-SA"/>
        </w:rPr>
        <w:t>报告单位：        报告时间：              编号：</w:t>
      </w:r>
    </w:p>
    <w:tbl>
      <w:tblPr>
        <w:jc w:val="center"/>
        <w:tblW w:w="8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9"/>
        <w:gridCol w:w="524"/>
        <w:gridCol w:w="981"/>
        <w:gridCol w:w="72"/>
        <w:gridCol w:w="779"/>
        <w:gridCol w:w="850"/>
        <w:gridCol w:w="958"/>
        <w:gridCol w:w="460"/>
        <w:gridCol w:w="142"/>
        <w:gridCol w:w="1141"/>
        <w:gridCol w:w="1552"/>
        <w:gridCol w:w="934"/>
      </w:tblGrid>
      <w:tr>
        <w:tc>
          <w:tcPr>
            <w:tcW w:w="2056" w:type="dxa"/>
            <w:gridSpan w:val="4"/>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疫情种类</w:t>
            </w:r>
          </w:p>
        </w:tc>
        <w:tc>
          <w:tcPr>
            <w:tcW w:w="6816" w:type="dxa"/>
            <w:gridSpan w:val="8"/>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r>
      <w:tr>
        <w:tc>
          <w:tcPr>
            <w:tcW w:w="2056"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信息来源</w:t>
            </w:r>
          </w:p>
        </w:tc>
        <w:tc>
          <w:tcPr>
            <w:tcW w:w="6816" w:type="dxa"/>
            <w:gridSpan w:val="8"/>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□OIE □FAO □WHO □区域性组织或有关国家或地方政府机构□农业农村部 □ 卫生部□海关总署</w:t>
            </w:r>
          </w:p>
        </w:tc>
      </w:tr>
      <w:tr>
        <w:tc>
          <w:tcPr>
            <w:tcW w:w="2056"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信息发布方式</w:t>
            </w:r>
          </w:p>
        </w:tc>
        <w:tc>
          <w:tcPr>
            <w:tcW w:w="6816" w:type="dxa"/>
            <w:gridSpan w:val="8"/>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□官方网站 □公告 □农业农村部兽医公报 □ 其他：</w:t>
            </w:r>
          </w:p>
        </w:tc>
      </w:tr>
      <w:tr>
        <w:tc>
          <w:tcPr>
            <w:tcW w:w="479"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信息具体内容</w:t>
            </w:r>
          </w:p>
        </w:tc>
        <w:tc>
          <w:tcPr>
            <w:tcW w:w="8393" w:type="dxa"/>
            <w:gridSpan w:val="11"/>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随附信息原文及译文</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8393" w:type="dxa"/>
            <w:gridSpan w:val="11"/>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检验检疫情况</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7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检疫类别</w:t>
            </w:r>
          </w:p>
        </w:tc>
        <w:tc>
          <w:tcPr>
            <w:tcW w:w="6816" w:type="dxa"/>
            <w:gridSpan w:val="8"/>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□出境检疫 □进境检疫 □过境检疫 □疫情监测□其他：随附有关说明</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7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报关单号</w:t>
            </w:r>
          </w:p>
        </w:tc>
        <w:tc>
          <w:tcPr>
            <w:tcW w:w="1629"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c>
          <w:tcPr>
            <w:tcW w:w="156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货物种类</w:t>
            </w:r>
          </w:p>
        </w:tc>
        <w:tc>
          <w:tcPr>
            <w:tcW w:w="1141"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c>
          <w:tcPr>
            <w:tcW w:w="1552"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报检数量</w:t>
            </w:r>
          </w:p>
        </w:tc>
        <w:tc>
          <w:tcPr>
            <w:tcW w:w="934"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7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报检单位</w:t>
            </w:r>
          </w:p>
        </w:tc>
        <w:tc>
          <w:tcPr>
            <w:tcW w:w="3047" w:type="dxa"/>
            <w:gridSpan w:val="4"/>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输入/出国家/地区</w:t>
            </w:r>
          </w:p>
        </w:tc>
        <w:tc>
          <w:tcPr>
            <w:tcW w:w="934"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2356" w:type="dxa"/>
            <w:gridSpan w:val="4"/>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样品种类/数量</w:t>
            </w:r>
          </w:p>
        </w:tc>
        <w:tc>
          <w:tcPr>
            <w:tcW w:w="6037" w:type="dxa"/>
            <w:gridSpan w:val="7"/>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524" w:type="dxa"/>
            <w:vMerge w:val="restart"/>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检疫方法</w:t>
            </w:r>
          </w:p>
        </w:tc>
        <w:tc>
          <w:tcPr>
            <w:tcW w:w="7869" w:type="dxa"/>
            <w:gridSpan w:val="10"/>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现场检疫</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52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7869" w:type="dxa"/>
            <w:gridSpan w:val="10"/>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实验室检验</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05"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诊断结果</w:t>
            </w:r>
          </w:p>
        </w:tc>
        <w:tc>
          <w:tcPr>
            <w:tcW w:w="6888" w:type="dxa"/>
            <w:gridSpan w:val="9"/>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□怀疑     □疑似病例      □确诊</w:t>
            </w:r>
          </w:p>
        </w:tc>
      </w:tr>
      <w:tr>
        <w:tc>
          <w:tcPr>
            <w:tcW w:w="479"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05"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处理意见</w:t>
            </w:r>
          </w:p>
        </w:tc>
        <w:tc>
          <w:tcPr>
            <w:tcW w:w="6888" w:type="dxa"/>
            <w:gridSpan w:val="9"/>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p>
        </w:tc>
      </w:tr>
      <w:tr>
        <w:tc>
          <w:tcPr>
            <w:tcW w:w="4643" w:type="dxa"/>
            <w:gridSpan w:val="7"/>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填报人：</w:t>
            </w:r>
          </w:p>
        </w:tc>
        <w:tc>
          <w:tcPr>
            <w:tcW w:w="4229" w:type="dxa"/>
            <w:gridSpan w:val="5"/>
            <w:vMerge w:val="restart"/>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pacing w:val="-6"/>
                <w:sz w:val="32"/>
                <w:szCs w:val="32"/>
                <w:lang w:bidi="ar-SA"/>
              </w:rPr>
            </w:pPr>
            <w:r>
              <w:rPr>
                <w:rFonts w:ascii="方正仿宋_GBK" w:eastAsia="方正仿宋_GBK" w:cs="宋体" w:hint="eastAsia"/>
                <w:color w:val="000000"/>
                <w:spacing w:val="-6"/>
                <w:sz w:val="32"/>
                <w:szCs w:val="32"/>
                <w:lang w:bidi="ar-SA"/>
              </w:rPr>
              <w:t>签报人：</w:t>
            </w:r>
          </w:p>
          <w:p>
            <w:pPr>
              <w:pStyle w:val="123"/>
              <w:tabs>
                <w:tab w:val="left" w:pos="1134"/>
                <w:tab w:val="left" w:pos="1890"/>
              </w:tabs>
              <w:spacing w:after="0" w:line="440" w:lineRule="exact"/>
              <w:ind w:firstLineChars="500" w:firstLine="1540"/>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（单位盖章）</w:t>
            </w:r>
          </w:p>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年   月  日</w:t>
            </w:r>
          </w:p>
        </w:tc>
      </w:tr>
      <w:tr>
        <w:tc>
          <w:tcPr>
            <w:tcW w:w="4643" w:type="dxa"/>
            <w:gridSpan w:val="7"/>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电话：</w:t>
            </w:r>
          </w:p>
        </w:tc>
        <w:tc>
          <w:tcPr>
            <w:tcW w:w="4229" w:type="dxa"/>
            <w:gridSpan w:val="5"/>
            <w:vMerge/>
            <w:tcBorders>
              <w:top w:val="single" w:sz="4" w:space="0" w:color="auto"/>
              <w:left w:val="single" w:sz="4" w:space="0" w:color="auto"/>
              <w:bottom w:val="single" w:sz="4" w:space="0" w:color="auto"/>
              <w:right w:val="single" w:sz="4" w:space="0" w:color="auto"/>
              <w:tl2br w:val="nil"/>
              <w:tr2bl w:val="nil"/>
            </w:tcBorders>
            <w:vAlign w:val="center"/>
          </w:tcPr>
          <w:p/>
        </w:tc>
      </w:tr>
      <w:tr>
        <w:trPr>
          <w:trHeight w:val="717"/>
        </w:trPr>
        <w:tc>
          <w:tcPr>
            <w:tcW w:w="4643"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after="0" w:line="44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传真：</w:t>
            </w:r>
          </w:p>
        </w:tc>
        <w:tc>
          <w:tcPr>
            <w:tcW w:w="4229" w:type="dxa"/>
            <w:gridSpan w:val="5"/>
            <w:vMerge/>
            <w:tcBorders>
              <w:top w:val="single" w:sz="4" w:space="0" w:color="auto"/>
              <w:left w:val="single" w:sz="4" w:space="0" w:color="auto"/>
              <w:bottom w:val="single" w:sz="4" w:space="0" w:color="auto"/>
              <w:right w:val="single" w:sz="4" w:space="0" w:color="auto"/>
              <w:tl2br w:val="nil"/>
              <w:tr2bl w:val="nil"/>
            </w:tcBorders>
            <w:vAlign w:val="center"/>
          </w:tcPr>
          <w:p/>
        </w:tc>
      </w:tr>
    </w:tbl>
    <w:p>
      <w:pPr>
        <w:pStyle w:val="123"/>
        <w:tabs>
          <w:tab w:val="left" w:pos="1134"/>
          <w:tab w:val="left" w:pos="1890"/>
        </w:tabs>
        <w:snapToGrid w:val="0"/>
        <w:spacing w:after="0" w:line="0" w:lineRule="atLeast"/>
        <w:rPr>
          <w:rFonts w:ascii="方正仿宋_GBK" w:eastAsia="方正仿宋_GBK" w:cs="宋体" w:hint="eastAsia"/>
          <w:color w:val="000000"/>
          <w:sz w:val="24"/>
          <w:szCs w:val="24"/>
          <w:lang w:bidi="ar-SA"/>
        </w:rPr>
      </w:pPr>
      <w:r>
        <w:rPr>
          <w:rFonts w:ascii="方正仿宋_GBK" w:eastAsia="方正仿宋_GBK" w:cs="宋体" w:hint="eastAsia"/>
          <w:color w:val="000000"/>
          <w:spacing w:val="-6"/>
          <w:sz w:val="24"/>
          <w:szCs w:val="24"/>
          <w:lang w:bidi="ar-SA"/>
        </w:rPr>
        <w:t>备注：1.编号原则：直属海关代码+年代后两位数+三位数流水号。</w:t>
      </w:r>
    </w:p>
    <w:p>
      <w:pPr>
        <w:pStyle w:val="123"/>
        <w:tabs>
          <w:tab w:val="left" w:pos="1134"/>
          <w:tab w:val="left" w:pos="1890"/>
        </w:tabs>
        <w:snapToGrid w:val="0"/>
        <w:spacing w:after="0" w:line="0" w:lineRule="atLeast"/>
        <w:ind w:firstLineChars="314" w:firstLine="754"/>
        <w:rPr>
          <w:rFonts w:ascii="方正仿宋_GBK" w:eastAsia="方正仿宋_GBK" w:cs="宋体" w:hint="eastAsia"/>
          <w:color w:val="000000"/>
          <w:spacing w:val="-6"/>
          <w:sz w:val="24"/>
          <w:szCs w:val="24"/>
          <w:lang w:bidi="ar-SA"/>
        </w:rPr>
      </w:pPr>
      <w:r>
        <w:rPr>
          <w:rFonts w:ascii="方正仿宋_GBK" w:eastAsia="方正仿宋_GBK" w:cs="宋体" w:hint="eastAsia"/>
          <w:color w:val="000000"/>
          <w:sz w:val="24"/>
          <w:szCs w:val="24"/>
          <w:lang w:bidi="ar-SA"/>
        </w:rPr>
        <w:t>2.OIE：世界动物卫生组织，FAO：联合国粮农组织，WHO：世界卫生组</w:t>
      </w:r>
      <w:r>
        <w:rPr>
          <w:rFonts w:ascii="方正仿宋_GBK" w:eastAsia="方正仿宋_GBK" w:cs="宋体" w:hint="eastAsia"/>
          <w:color w:val="000000"/>
          <w:spacing w:val="-6"/>
          <w:sz w:val="24"/>
          <w:szCs w:val="24"/>
          <w:lang w:bidi="ar-SA"/>
        </w:rPr>
        <w:t>织。</w:t>
      </w:r>
    </w:p>
    <w:p>
      <w:pPr>
        <w:pStyle w:val="123"/>
        <w:tabs>
          <w:tab w:val="left" w:pos="1134"/>
          <w:tab w:val="left" w:pos="1890"/>
        </w:tabs>
        <w:snapToGrid w:val="0"/>
        <w:spacing w:after="0" w:line="0" w:lineRule="atLeast"/>
        <w:ind w:firstLineChars="314" w:firstLine="716"/>
        <w:rPr>
          <w:rFonts w:ascii="方正仿宋_GBK" w:eastAsia="方正仿宋_GBK" w:cs="宋体" w:hint="eastAsia"/>
          <w:color w:val="000000"/>
          <w:spacing w:val="-6"/>
          <w:sz w:val="24"/>
          <w:szCs w:val="24"/>
          <w:lang w:bidi="ar-SA"/>
        </w:rPr>
      </w:pPr>
      <w:r>
        <w:rPr>
          <w:rFonts w:ascii="方正仿宋_GBK" w:eastAsia="方正仿宋_GBK" w:cs="宋体" w:hint="eastAsia"/>
          <w:color w:val="000000"/>
          <w:spacing w:val="-6"/>
          <w:sz w:val="24"/>
          <w:szCs w:val="24"/>
          <w:lang w:bidi="ar-SA"/>
        </w:rPr>
        <w:t>3.本表应随附有关内容的原始材料、试验报告等。</w:t>
      </w:r>
    </w:p>
    <w:p>
      <w:pPr>
        <w:pStyle w:val="123"/>
        <w:snapToGrid w:val="0"/>
        <w:spacing w:line="600" w:lineRule="atLeast"/>
        <w:rPr>
          <w:rFonts w:ascii="方正楷体_GBK" w:eastAsia="方正楷体_GBK" w:cs="宋体" w:hint="eastAsia"/>
          <w:color w:val="000000"/>
          <w:sz w:val="32"/>
          <w:szCs w:val="32"/>
          <w:lang w:bidi="ar-SA"/>
        </w:rPr>
      </w:pPr>
    </w:p>
    <w:p>
      <w:pPr>
        <w:pStyle w:val="123"/>
        <w:snapToGrid w:val="0"/>
        <w:spacing w:line="600" w:lineRule="atLeast"/>
        <w:rPr>
          <w:rFonts w:ascii="方正楷体_GBK" w:eastAsia="方正楷体_GBK" w:cs="宋体" w:hint="eastAsia"/>
          <w:color w:val="000000"/>
          <w:sz w:val="32"/>
          <w:szCs w:val="32"/>
          <w:lang w:bidi="ar-SA"/>
        </w:rPr>
      </w:pPr>
    </w:p>
    <w:p>
      <w:pPr>
        <w:pStyle w:val="123"/>
        <w:snapToGrid w:val="0"/>
        <w:spacing w:line="600" w:lineRule="atLeast"/>
        <w:rPr>
          <w:rFonts w:ascii="方正楷体_GBK" w:eastAsia="方正楷体_GBK" w:cs="宋体" w:hint="eastAsia"/>
          <w:color w:val="000000"/>
          <w:sz w:val="32"/>
          <w:szCs w:val="32"/>
          <w:lang w:bidi="ar-SA"/>
        </w:rPr>
      </w:pPr>
      <w:r>
        <w:rPr>
          <w:rFonts w:ascii="方正楷体_GBK" w:eastAsia="方正楷体_GBK" w:cs="宋体" w:hint="eastAsia"/>
          <w:color w:val="000000"/>
          <w:sz w:val="32"/>
          <w:szCs w:val="32"/>
          <w:lang w:bidi="ar-SA"/>
        </w:rPr>
        <w:t>附表2</w:t>
      </w:r>
    </w:p>
    <w:p>
      <w:pPr>
        <w:pStyle w:val="123"/>
        <w:tabs>
          <w:tab w:val="left" w:pos="1134"/>
          <w:tab w:val="left" w:pos="1890"/>
        </w:tabs>
        <w:snapToGrid w:val="0"/>
        <w:spacing w:line="360" w:lineRule="atLeast"/>
        <w:jc w:val="center"/>
        <w:rPr>
          <w:rFonts w:ascii="方正小标宋_GBK" w:eastAsia="方正小标宋_GBK" w:cs="宋体" w:hint="eastAsia"/>
          <w:color w:val="000000"/>
          <w:sz w:val="32"/>
          <w:szCs w:val="32"/>
          <w:lang w:bidi="ar-SA"/>
        </w:rPr>
      </w:pPr>
      <w:r>
        <w:rPr>
          <w:rFonts w:ascii="方正小标宋_GBK" w:eastAsia="方正小标宋_GBK" w:cs="宋体" w:hint="eastAsia"/>
          <w:color w:val="000000"/>
          <w:spacing w:val="-6"/>
          <w:sz w:val="32"/>
          <w:szCs w:val="32"/>
          <w:lang w:bidi="ar-SA"/>
        </w:rPr>
        <w:t>进出境重大动物疫情警示通报</w:t>
      </w:r>
    </w:p>
    <w:tbl>
      <w:tblPr>
        <w:tblpPr w:leftFromText="180" w:rightFromText="180" w:vertAnchor="text" w:horzAnchor="page" w:tblpX="1600" w:tblpY="275"/>
        <w:tblOverlap w:val="neve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9"/>
        <w:gridCol w:w="640"/>
        <w:gridCol w:w="3251"/>
        <w:gridCol w:w="236"/>
        <w:gridCol w:w="1213"/>
        <w:gridCol w:w="3063"/>
      </w:tblGrid>
      <w:tr>
        <w:trPr>
          <w:trHeight w:hRule="exact" w:val="1003"/>
        </w:trPr>
        <w:tc>
          <w:tcPr>
            <w:tcW w:w="1119"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50"/>
              <w:tabs>
                <w:tab w:val="left" w:pos="1134"/>
                <w:tab w:val="left" w:pos="1890"/>
              </w:tabs>
              <w:spacing w:line="240" w:lineRule="atLeas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发布单位</w:t>
            </w:r>
          </w:p>
        </w:tc>
        <w:tc>
          <w:tcPr>
            <w:tcW w:w="348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51"/>
              <w:tabs>
                <w:tab w:val="left" w:pos="1134"/>
                <w:tab w:val="left" w:pos="1890"/>
              </w:tabs>
              <w:spacing w:line="51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海关总署指挥中心或直属海关指挥中心</w:t>
            </w:r>
          </w:p>
        </w:tc>
        <w:tc>
          <w:tcPr>
            <w:tcW w:w="1213" w:type="dxa"/>
            <w:tcBorders>
              <w:top w:val="single" w:sz="4" w:space="0" w:color="auto"/>
              <w:left w:val="single" w:sz="4" w:space="0" w:color="auto"/>
              <w:bottom w:val="single" w:sz="4" w:space="0" w:color="auto"/>
              <w:right w:val="single" w:sz="4" w:space="0" w:color="auto"/>
              <w:tl2br w:val="nil"/>
              <w:tr2bl w:val="nil"/>
            </w:tcBorders>
            <w:vAlign w:val="center"/>
          </w:tcPr>
          <w:p>
            <w:pPr>
              <w:pStyle w:val="152"/>
              <w:tabs>
                <w:tab w:val="left" w:pos="1134"/>
                <w:tab w:val="left" w:pos="1890"/>
              </w:tabs>
              <w:spacing w:line="510" w:lineRule="exac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发布时间</w:t>
            </w:r>
          </w:p>
        </w:tc>
        <w:tc>
          <w:tcPr>
            <w:tcW w:w="3063" w:type="dxa"/>
            <w:tcBorders>
              <w:top w:val="single" w:sz="4" w:space="0" w:color="auto"/>
              <w:left w:val="single" w:sz="4" w:space="0" w:color="auto"/>
              <w:bottom w:val="single" w:sz="4" w:space="0" w:color="auto"/>
              <w:right w:val="single" w:sz="4" w:space="0" w:color="auto"/>
              <w:tl2br w:val="nil"/>
              <w:tr2bl w:val="nil"/>
            </w:tcBorders>
          </w:tcPr>
          <w:p>
            <w:pPr>
              <w:pStyle w:val="153"/>
              <w:tabs>
                <w:tab w:val="left" w:pos="1920"/>
              </w:tabs>
              <w:spacing w:line="510" w:lineRule="exact"/>
              <w:rPr>
                <w:rFonts w:ascii="方正仿宋_GBK" w:eastAsia="方正仿宋_GBK" w:cs="宋体" w:hint="eastAsia"/>
                <w:color w:val="000000"/>
                <w:sz w:val="32"/>
                <w:szCs w:val="32"/>
                <w:lang w:bidi="ar-SA"/>
              </w:rPr>
            </w:pPr>
          </w:p>
        </w:tc>
      </w:tr>
      <w:tr>
        <w:trPr>
          <w:trHeight w:hRule="exact" w:val="649"/>
        </w:trPr>
        <w:tc>
          <w:tcPr>
            <w:tcW w:w="1119"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54"/>
              <w:tabs>
                <w:tab w:val="left" w:pos="1134"/>
                <w:tab w:val="left" w:pos="1890"/>
              </w:tabs>
              <w:spacing w:line="240" w:lineRule="atLeas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发往单位</w:t>
            </w:r>
          </w:p>
        </w:tc>
        <w:tc>
          <w:tcPr>
            <w:tcW w:w="7763" w:type="dxa"/>
            <w:gridSpan w:val="4"/>
            <w:tcBorders>
              <w:top w:val="single" w:sz="4" w:space="0" w:color="auto"/>
              <w:left w:val="single" w:sz="4" w:space="0" w:color="auto"/>
              <w:bottom w:val="single" w:sz="4" w:space="0" w:color="auto"/>
              <w:right w:val="single" w:sz="4" w:space="0" w:color="auto"/>
              <w:tl2br w:val="nil"/>
              <w:tr2bl w:val="nil"/>
            </w:tcBorders>
          </w:tcPr>
          <w:p>
            <w:pPr>
              <w:pStyle w:val="155"/>
              <w:tabs>
                <w:tab w:val="left" w:pos="1134"/>
                <w:tab w:val="left" w:pos="1890"/>
              </w:tabs>
              <w:spacing w:line="51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直属海关或隶属海关</w:t>
            </w:r>
          </w:p>
        </w:tc>
      </w:tr>
      <w:tr>
        <w:trPr>
          <w:trHeight w:hRule="exact" w:val="719"/>
        </w:trPr>
        <w:tc>
          <w:tcPr>
            <w:tcW w:w="1119"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56"/>
              <w:tabs>
                <w:tab w:val="left" w:pos="1134"/>
                <w:tab w:val="left" w:pos="1890"/>
              </w:tabs>
              <w:spacing w:line="240" w:lineRule="atLeas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疫情种类</w:t>
            </w:r>
          </w:p>
        </w:tc>
        <w:tc>
          <w:tcPr>
            <w:tcW w:w="7763" w:type="dxa"/>
            <w:gridSpan w:val="4"/>
            <w:tcBorders>
              <w:top w:val="single" w:sz="4" w:space="0" w:color="auto"/>
              <w:left w:val="single" w:sz="4" w:space="0" w:color="auto"/>
              <w:bottom w:val="single" w:sz="4" w:space="0" w:color="auto"/>
              <w:right w:val="single" w:sz="4" w:space="0" w:color="auto"/>
              <w:tl2br w:val="nil"/>
              <w:tr2bl w:val="nil"/>
            </w:tcBorders>
          </w:tcPr>
          <w:p>
            <w:pPr>
              <w:pStyle w:val="157"/>
              <w:tabs>
                <w:tab w:val="left" w:pos="1134"/>
                <w:tab w:val="left" w:pos="1890"/>
              </w:tabs>
              <w:spacing w:line="510" w:lineRule="exact"/>
              <w:rPr>
                <w:rFonts w:ascii="方正仿宋_GBK" w:eastAsia="方正仿宋_GBK" w:cs="宋体" w:hint="eastAsia"/>
                <w:color w:val="000000"/>
                <w:sz w:val="32"/>
                <w:szCs w:val="32"/>
                <w:lang w:bidi="ar-SA"/>
              </w:rPr>
            </w:pPr>
          </w:p>
        </w:tc>
      </w:tr>
      <w:tr>
        <w:trPr>
          <w:trHeight w:val="4210"/>
        </w:trPr>
        <w:tc>
          <w:tcPr>
            <w:tcW w:w="479" w:type="dxa"/>
            <w:tcBorders>
              <w:top w:val="single" w:sz="4" w:space="0" w:color="auto"/>
              <w:left w:val="single" w:sz="4" w:space="0" w:color="auto"/>
              <w:bottom w:val="single" w:sz="4" w:space="0" w:color="auto"/>
              <w:right w:val="single" w:sz="4" w:space="0" w:color="auto"/>
              <w:tl2br w:val="nil"/>
              <w:tr2bl w:val="nil"/>
            </w:tcBorders>
            <w:vAlign w:val="center"/>
          </w:tcPr>
          <w:p>
            <w:pPr>
              <w:pStyle w:val="158"/>
              <w:tabs>
                <w:tab w:val="left" w:pos="1134"/>
                <w:tab w:val="left" w:pos="1890"/>
              </w:tabs>
              <w:spacing w:line="240" w:lineRule="atLeast"/>
              <w:jc w:val="center"/>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通报内容</w:t>
            </w:r>
          </w:p>
        </w:tc>
        <w:tc>
          <w:tcPr>
            <w:tcW w:w="8403" w:type="dxa"/>
            <w:gridSpan w:val="5"/>
            <w:tcBorders>
              <w:top w:val="single" w:sz="4" w:space="0" w:color="auto"/>
              <w:left w:val="single" w:sz="4" w:space="0" w:color="auto"/>
              <w:bottom w:val="single" w:sz="4" w:space="0" w:color="auto"/>
              <w:right w:val="single" w:sz="4" w:space="0" w:color="auto"/>
              <w:tl2br w:val="nil"/>
              <w:tr2bl w:val="nil"/>
            </w:tcBorders>
          </w:tcPr>
          <w:p>
            <w:pPr>
              <w:pStyle w:val="159"/>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通报疫情信息来源，启动《进出境重大动物疫情应急处置预案》，提出对检验检疫的要求。</w:t>
            </w:r>
          </w:p>
        </w:tc>
      </w:tr>
      <w:tr>
        <w:trPr>
          <w:cantSplit/>
          <w:trHeight w:hRule="exact" w:val="875"/>
        </w:trPr>
        <w:tc>
          <w:tcPr>
            <w:tcW w:w="4370" w:type="dxa"/>
            <w:gridSpan w:val="3"/>
            <w:tcBorders>
              <w:top w:val="single" w:sz="4" w:space="0" w:color="auto"/>
              <w:left w:val="single" w:sz="4" w:space="0" w:color="auto"/>
              <w:bottom w:val="single" w:sz="4" w:space="0" w:color="auto"/>
              <w:right w:val="single" w:sz="4" w:space="0" w:color="auto"/>
              <w:tl2br w:val="nil"/>
              <w:tr2bl w:val="nil"/>
            </w:tcBorders>
          </w:tcPr>
          <w:p>
            <w:pPr>
              <w:pStyle w:val="160"/>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填报人：</w:t>
            </w:r>
          </w:p>
          <w:p>
            <w:pPr>
              <w:pStyle w:val="160"/>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w:t>
            </w:r>
          </w:p>
          <w:p>
            <w:pPr>
              <w:pStyle w:val="160"/>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 </w:t>
            </w:r>
          </w:p>
          <w:p>
            <w:pPr>
              <w:pStyle w:val="160"/>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 </w:t>
            </w:r>
          </w:p>
          <w:p>
            <w:pPr>
              <w:pStyle w:val="160"/>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w:t>
            </w:r>
            <w:r>
              <w:rPr>
                <w:rFonts w:ascii="方正仿宋_GBK" w:eastAsia="方正仿宋_GBK" w:cs="宋体" w:hint="eastAsia"/>
                <w:color w:val="000000"/>
                <w:spacing w:val="-6"/>
                <w:sz w:val="32"/>
                <w:szCs w:val="32"/>
                <w:lang w:bidi="ar-SA"/>
              </w:rPr>
              <w:t xml:space="preserve">         </w:t>
            </w:r>
          </w:p>
        </w:tc>
        <w:tc>
          <w:tcPr>
            <w:tcW w:w="4512" w:type="dxa"/>
            <w:gridSpan w:val="3"/>
            <w:vMerge w:val="restart"/>
            <w:tcBorders>
              <w:top w:val="single" w:sz="4" w:space="0" w:color="auto"/>
              <w:left w:val="single" w:sz="4" w:space="0" w:color="auto"/>
              <w:bottom w:val="single" w:sz="4" w:space="0" w:color="auto"/>
              <w:right w:val="single" w:sz="4" w:space="0" w:color="auto"/>
              <w:tl2br w:val="nil"/>
              <w:tr2bl w:val="nil"/>
            </w:tcBorders>
          </w:tcPr>
          <w:p>
            <w:pPr>
              <w:pStyle w:val="161"/>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签发人：</w:t>
            </w:r>
          </w:p>
          <w:p>
            <w:pPr>
              <w:pStyle w:val="161"/>
              <w:tabs>
                <w:tab w:val="left" w:pos="1134"/>
                <w:tab w:val="left" w:pos="1890"/>
              </w:tabs>
              <w:spacing w:line="240" w:lineRule="atLeast"/>
              <w:rPr>
                <w:rFonts w:ascii="方正仿宋_GBK" w:eastAsia="方正仿宋_GBK" w:cs="宋体" w:hint="eastAsia"/>
                <w:color w:val="000000"/>
                <w:spacing w:val="-6"/>
                <w:sz w:val="32"/>
                <w:szCs w:val="32"/>
                <w:lang w:bidi="ar-SA"/>
              </w:rPr>
            </w:pPr>
          </w:p>
          <w:p>
            <w:pPr>
              <w:pStyle w:val="161"/>
              <w:tabs>
                <w:tab w:val="left" w:pos="1134"/>
                <w:tab w:val="left" w:pos="1890"/>
              </w:tabs>
              <w:spacing w:line="240" w:lineRule="atLeast"/>
              <w:ind w:firstLineChars="450" w:firstLine="1386"/>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（单位盖章）</w:t>
            </w:r>
          </w:p>
          <w:p>
            <w:pPr>
              <w:pStyle w:val="161"/>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年   月    日</w:t>
            </w:r>
          </w:p>
        </w:tc>
      </w:tr>
      <w:tr>
        <w:trPr>
          <w:cantSplit/>
          <w:trHeight w:val="510"/>
        </w:trPr>
        <w:tc>
          <w:tcPr>
            <w:tcW w:w="4370" w:type="dxa"/>
            <w:gridSpan w:val="3"/>
            <w:tcBorders>
              <w:top w:val="single" w:sz="4" w:space="0" w:color="auto"/>
              <w:left w:val="single" w:sz="4" w:space="0" w:color="auto"/>
              <w:bottom w:val="single" w:sz="4" w:space="0" w:color="auto"/>
              <w:right w:val="single" w:sz="4" w:space="0" w:color="auto"/>
              <w:tl2br w:val="nil"/>
              <w:tr2bl w:val="nil"/>
            </w:tcBorders>
          </w:tcPr>
          <w:p>
            <w:pPr>
              <w:pStyle w:val="162"/>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核报人：</w:t>
            </w:r>
          </w:p>
        </w:tc>
        <w:tc>
          <w:tcPr>
            <w:tcW w:w="4512"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tc>
      </w:tr>
      <w:tr>
        <w:trPr>
          <w:cantSplit/>
          <w:trHeight w:val="510"/>
        </w:trPr>
        <w:tc>
          <w:tcPr>
            <w:tcW w:w="43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6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电  话：</w:t>
            </w:r>
          </w:p>
        </w:tc>
        <w:tc>
          <w:tcPr>
            <w:tcW w:w="4512"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tc>
      </w:tr>
      <w:tr>
        <w:trPr>
          <w:cantSplit/>
          <w:trHeight w:val="1020"/>
        </w:trPr>
        <w:tc>
          <w:tcPr>
            <w:tcW w:w="43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64"/>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传  真：</w:t>
            </w:r>
          </w:p>
        </w:tc>
        <w:tc>
          <w:tcPr>
            <w:tcW w:w="4512"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tc>
      </w:tr>
    </w:tbl>
    <w:p>
      <w:pPr>
        <w:pStyle w:val="123"/>
        <w:tabs>
          <w:tab w:val="left" w:pos="1134"/>
          <w:tab w:val="left" w:pos="1890"/>
        </w:tabs>
        <w:snapToGrid w:val="0"/>
        <w:spacing w:line="240" w:lineRule="atLeast"/>
        <w:ind w:right="720"/>
        <w:jc w:val="right"/>
        <w:rPr>
          <w:rFonts w:ascii="方正仿宋_GBK" w:eastAsia="方正仿宋_GBK" w:cs="宋体" w:hint="eastAsia"/>
          <w:color w:val="000000"/>
          <w:sz w:val="28"/>
          <w:szCs w:val="28"/>
          <w:lang w:bidi="ar-SA"/>
        </w:rPr>
      </w:pPr>
      <w:r>
        <w:rPr>
          <w:rFonts w:ascii="方正仿宋_GBK" w:eastAsia="方正仿宋_GBK" w:cs="宋体" w:hint="eastAsia"/>
          <w:color w:val="000000"/>
          <w:spacing w:val="-6"/>
          <w:sz w:val="28"/>
          <w:szCs w:val="28"/>
          <w:lang w:bidi="ar-SA"/>
        </w:rPr>
        <w:t>编号：</w:t>
      </w:r>
    </w:p>
    <w:p>
      <w:pPr>
        <w:pStyle w:val="123"/>
        <w:tabs>
          <w:tab w:val="left" w:pos="1134"/>
          <w:tab w:val="left" w:pos="1890"/>
        </w:tabs>
        <w:snapToGrid w:val="0"/>
        <w:spacing w:line="360" w:lineRule="atLeast"/>
        <w:rPr>
          <w:rFonts w:ascii="方正仿宋_GBK" w:eastAsia="方正仿宋_GBK" w:cs="宋体" w:hint="eastAsia"/>
          <w:color w:val="000000"/>
          <w:spacing w:val="-6"/>
          <w:sz w:val="28"/>
          <w:szCs w:val="28"/>
          <w:lang w:bidi="ar-SA"/>
        </w:rPr>
      </w:pPr>
      <w:r>
        <w:rPr>
          <w:rFonts w:ascii="方正仿宋_GBK" w:eastAsia="方正仿宋_GBK" w:cs="宋体" w:hint="eastAsia"/>
          <w:color w:val="000000"/>
          <w:spacing w:val="-6"/>
          <w:sz w:val="28"/>
          <w:szCs w:val="28"/>
          <w:lang w:bidi="ar-SA"/>
        </w:rPr>
        <w:t>备注：编号原则：CCYQTB+年度后两未数+三位数流水号。</w:t>
      </w:r>
    </w:p>
    <w:p>
      <w:pPr>
        <w:pStyle w:val="123"/>
        <w:snapToGrid w:val="0"/>
        <w:spacing w:line="600" w:lineRule="atLeast"/>
        <w:rPr>
          <w:rFonts w:ascii="方正楷体_GBK" w:eastAsia="方正楷体_GBK" w:cs="宋体" w:hint="eastAsia"/>
          <w:color w:val="000000"/>
          <w:sz w:val="32"/>
          <w:szCs w:val="32"/>
          <w:lang w:bidi="ar-SA"/>
        </w:rPr>
      </w:pPr>
      <w:r>
        <w:rPr>
          <w:rFonts w:ascii="方正楷体_GBK" w:eastAsia="方正楷体_GBK" w:cs="宋体" w:hint="eastAsia"/>
          <w:color w:val="000000"/>
          <w:sz w:val="32"/>
          <w:szCs w:val="32"/>
          <w:lang w:bidi="ar-SA"/>
        </w:rPr>
        <w:t>附表3</w:t>
      </w:r>
    </w:p>
    <w:p>
      <w:pPr>
        <w:pStyle w:val="123"/>
        <w:tabs>
          <w:tab w:val="left" w:pos="1134"/>
          <w:tab w:val="left" w:pos="1890"/>
        </w:tabs>
        <w:snapToGrid w:val="0"/>
        <w:spacing w:line="360" w:lineRule="atLeast"/>
        <w:jc w:val="center"/>
        <w:rPr>
          <w:rFonts w:ascii="方正小标宋_GBK" w:eastAsia="方正小标宋_GBK" w:cs="宋体" w:hint="eastAsia"/>
          <w:color w:val="000000"/>
          <w:sz w:val="32"/>
          <w:szCs w:val="32"/>
          <w:lang w:bidi="ar-SA"/>
        </w:rPr>
      </w:pPr>
      <w:r>
        <w:rPr>
          <w:rFonts w:ascii="方正小标宋_GBK" w:eastAsia="方正小标宋_GBK" w:cs="宋体" w:hint="eastAsia"/>
          <w:color w:val="000000"/>
          <w:spacing w:val="-6"/>
          <w:sz w:val="32"/>
          <w:szCs w:val="32"/>
          <w:lang w:bidi="ar-SA"/>
        </w:rPr>
        <w:t>进出境重大动物疫情解除通报</w:t>
      </w:r>
    </w:p>
    <w:p>
      <w:pPr>
        <w:pStyle w:val="123"/>
        <w:tabs>
          <w:tab w:val="left" w:pos="1134"/>
          <w:tab w:val="left" w:pos="1890"/>
        </w:tabs>
        <w:snapToGrid w:val="0"/>
        <w:spacing w:line="240" w:lineRule="atLeast"/>
        <w:ind w:right="500"/>
        <w:jc w:val="right"/>
        <w:rPr>
          <w:rFonts w:ascii="方正仿宋_GBK" w:eastAsia="方正仿宋_GBK" w:cs="宋体" w:hint="eastAsia"/>
          <w:color w:val="000000"/>
          <w:sz w:val="28"/>
          <w:szCs w:val="28"/>
          <w:lang w:bidi="ar-SA"/>
        </w:rPr>
      </w:pPr>
      <w:r>
        <w:rPr>
          <w:rFonts w:ascii="方正仿宋_GBK" w:eastAsia="方正仿宋_GBK" w:cs="宋体" w:hint="eastAsia"/>
          <w:color w:val="000000"/>
          <w:spacing w:val="-6"/>
          <w:sz w:val="28"/>
          <w:szCs w:val="28"/>
          <w:lang w:bidi="ar-SA"/>
        </w:rPr>
        <w:t>编号：</w:t>
      </w:r>
    </w:p>
    <w:tbl>
      <w:tblPr>
        <w:jc w:val="cente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8"/>
        <w:gridCol w:w="641"/>
        <w:gridCol w:w="3252"/>
        <w:gridCol w:w="236"/>
        <w:gridCol w:w="1213"/>
        <w:gridCol w:w="2991"/>
      </w:tblGrid>
      <w:tr>
        <w:trPr>
          <w:trHeight w:hRule="exact" w:val="1094"/>
        </w:trPr>
        <w:tc>
          <w:tcPr>
            <w:tcW w:w="1119"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发布单位</w:t>
            </w:r>
          </w:p>
        </w:tc>
        <w:tc>
          <w:tcPr>
            <w:tcW w:w="3488"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51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海关总署指挥中心或直属海关指挥中心</w:t>
            </w:r>
          </w:p>
        </w:tc>
        <w:tc>
          <w:tcPr>
            <w:tcW w:w="1213"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51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发布时间</w:t>
            </w:r>
          </w:p>
        </w:tc>
        <w:tc>
          <w:tcPr>
            <w:tcW w:w="2991" w:type="dxa"/>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510" w:lineRule="exact"/>
              <w:rPr>
                <w:rFonts w:ascii="方正仿宋_GBK" w:eastAsia="方正仿宋_GBK" w:cs="宋体" w:hint="eastAsia"/>
                <w:color w:val="000000"/>
                <w:sz w:val="32"/>
                <w:szCs w:val="32"/>
                <w:lang w:bidi="ar-SA"/>
              </w:rPr>
            </w:pPr>
          </w:p>
        </w:tc>
      </w:tr>
      <w:tr>
        <w:trPr>
          <w:trHeight w:hRule="exact" w:val="510"/>
        </w:trPr>
        <w:tc>
          <w:tcPr>
            <w:tcW w:w="1119"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发往单位</w:t>
            </w:r>
          </w:p>
        </w:tc>
        <w:tc>
          <w:tcPr>
            <w:tcW w:w="7692" w:type="dxa"/>
            <w:gridSpan w:val="4"/>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510" w:lineRule="exac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各直属海关或隶属海关</w:t>
            </w:r>
          </w:p>
        </w:tc>
      </w:tr>
      <w:tr>
        <w:trPr>
          <w:trHeight w:hRule="exact" w:val="510"/>
        </w:trPr>
        <w:tc>
          <w:tcPr>
            <w:tcW w:w="1119" w:type="dxa"/>
            <w:gridSpan w:val="2"/>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疫情种类</w:t>
            </w:r>
          </w:p>
        </w:tc>
        <w:tc>
          <w:tcPr>
            <w:tcW w:w="7692" w:type="dxa"/>
            <w:gridSpan w:val="4"/>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510" w:lineRule="exact"/>
              <w:rPr>
                <w:rFonts w:ascii="方正仿宋_GBK" w:eastAsia="方正仿宋_GBK" w:cs="宋体" w:hint="eastAsia"/>
                <w:color w:val="000000"/>
                <w:sz w:val="32"/>
                <w:szCs w:val="32"/>
                <w:lang w:bidi="ar-SA"/>
              </w:rPr>
            </w:pPr>
          </w:p>
        </w:tc>
      </w:tr>
      <w:tr>
        <w:trPr>
          <w:trHeight w:val="4238"/>
        </w:trPr>
        <w:tc>
          <w:tcPr>
            <w:tcW w:w="478" w:type="dxa"/>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通报内容</w:t>
            </w:r>
          </w:p>
        </w:tc>
        <w:tc>
          <w:tcPr>
            <w:tcW w:w="8333" w:type="dxa"/>
            <w:gridSpan w:val="5"/>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通报疫情解除的根据，终止《进出境重大动物疫情应急处置预案》。</w:t>
            </w:r>
          </w:p>
        </w:tc>
      </w:tr>
      <w:tr>
        <w:trPr>
          <w:cantSplit/>
          <w:trHeight w:hRule="exact" w:val="510"/>
        </w:trPr>
        <w:tc>
          <w:tcPr>
            <w:tcW w:w="4371" w:type="dxa"/>
            <w:gridSpan w:val="3"/>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填报人：</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 </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z w:val="32"/>
                <w:szCs w:val="32"/>
                <w:lang w:bidi="ar-SA"/>
              </w:rPr>
              <w:t> </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w:t>
            </w:r>
          </w:p>
        </w:tc>
        <w:tc>
          <w:tcPr>
            <w:tcW w:w="4440" w:type="dxa"/>
            <w:gridSpan w:val="3"/>
            <w:vMerge w:val="restart"/>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签发人：</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w:t>
            </w:r>
          </w:p>
          <w:p>
            <w:pPr>
              <w:pStyle w:val="123"/>
              <w:tabs>
                <w:tab w:val="left" w:pos="1134"/>
                <w:tab w:val="left" w:pos="1890"/>
              </w:tabs>
              <w:spacing w:line="240" w:lineRule="atLeast"/>
              <w:ind w:firstLineChars="297" w:firstLine="915"/>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 xml:space="preserve">       （单位盖章）</w:t>
            </w:r>
          </w:p>
          <w:p>
            <w:pPr>
              <w:pStyle w:val="123"/>
              <w:tabs>
                <w:tab w:val="left" w:pos="1134"/>
                <w:tab w:val="left" w:pos="1890"/>
              </w:tabs>
              <w:spacing w:line="240" w:lineRule="atLeast"/>
              <w:ind w:firstLineChars="400" w:firstLine="1232"/>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年      月      日</w:t>
            </w:r>
          </w:p>
        </w:tc>
      </w:tr>
      <w:tr>
        <w:trPr>
          <w:cantSplit/>
          <w:trHeight w:val="510"/>
        </w:trPr>
        <w:tc>
          <w:tcPr>
            <w:tcW w:w="4371" w:type="dxa"/>
            <w:gridSpan w:val="3"/>
            <w:tcBorders>
              <w:top w:val="single" w:sz="4" w:space="0" w:color="auto"/>
              <w:left w:val="single" w:sz="4" w:space="0" w:color="auto"/>
              <w:bottom w:val="single" w:sz="4" w:space="0" w:color="auto"/>
              <w:right w:val="single" w:sz="4" w:space="0" w:color="auto"/>
              <w:tl2br w:val="nil"/>
              <w:tr2bl w:val="nil"/>
            </w:tcBorders>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核报人：</w:t>
            </w:r>
          </w:p>
        </w:tc>
        <w:tc>
          <w:tcPr>
            <w:tcW w:w="4440"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tc>
      </w:tr>
      <w:tr>
        <w:trPr>
          <w:cantSplit/>
          <w:trHeight w:val="1252"/>
        </w:trPr>
        <w:tc>
          <w:tcPr>
            <w:tcW w:w="437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电  话：</w:t>
            </w:r>
          </w:p>
          <w:p>
            <w:pPr>
              <w:pStyle w:val="123"/>
              <w:tabs>
                <w:tab w:val="left" w:pos="1134"/>
                <w:tab w:val="left" w:pos="1890"/>
              </w:tabs>
              <w:spacing w:line="240" w:lineRule="atLeast"/>
              <w:rPr>
                <w:rFonts w:ascii="方正仿宋_GBK" w:eastAsia="方正仿宋_GBK" w:cs="宋体" w:hint="eastAsia"/>
                <w:color w:val="000000"/>
                <w:sz w:val="32"/>
                <w:szCs w:val="32"/>
                <w:lang w:bidi="ar-SA"/>
              </w:rPr>
            </w:pPr>
            <w:r>
              <w:rPr>
                <w:rFonts w:ascii="方正仿宋_GBK" w:eastAsia="方正仿宋_GBK" w:cs="宋体" w:hint="eastAsia"/>
                <w:color w:val="000000"/>
                <w:spacing w:val="-6"/>
                <w:sz w:val="32"/>
                <w:szCs w:val="32"/>
                <w:lang w:bidi="ar-SA"/>
              </w:rPr>
              <w:t>传  真：</w:t>
            </w:r>
          </w:p>
        </w:tc>
        <w:tc>
          <w:tcPr>
            <w:tcW w:w="4440"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tc>
      </w:tr>
    </w:tbl>
    <w:p>
      <w:pPr>
        <w:pStyle w:val="123"/>
        <w:tabs>
          <w:tab w:val="left" w:pos="1134"/>
          <w:tab w:val="left" w:pos="1890"/>
        </w:tabs>
        <w:snapToGrid w:val="0"/>
        <w:spacing w:line="240" w:lineRule="atLeast"/>
        <w:rPr>
          <w:rFonts w:ascii="方正仿宋_GBK" w:eastAsia="方正仿宋_GBK" w:hint="eastAsia"/>
          <w:sz w:val="32"/>
        </w:rPr>
      </w:pPr>
      <w:r>
        <w:rPr>
          <w:rFonts w:ascii="方正仿宋_GBK" w:eastAsia="方正仿宋_GBK" w:cs="宋体" w:hint="eastAsia"/>
          <w:color w:val="000000"/>
          <w:spacing w:val="-6"/>
          <w:sz w:val="28"/>
          <w:szCs w:val="28"/>
          <w:lang w:bidi="ar-SA"/>
        </w:rPr>
        <w:t>备注：编号原则：CCYQJCTB+年度后两未数+三位数流水号。</w:t>
      </w:r>
    </w:p>
    <w:p>
      <w:pPr>
        <w:rPr>
          <w:rFonts w:ascii="宋体" w:hAnsi="宋体"/>
        </w:rPr>
      </w:pPr>
      <w:bookmarkStart w:id="16" w:name="_GoBack"/>
      <w:bookmarkEnd w:id="16"/>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小标宋简体">
    <w:panose1 w:val="00000000000000000000"/>
    <w:charset w:val="00"/>
    <w:family w:val="auto"/>
    <w:pitch w:val="variable"/>
    <w:sig w:usb0="00000000" w:usb1="00000000" w:usb2="00000000" w:usb3="00000000" w:csb0="00000000" w:csb1="00000000"/>
  </w:font>
  <w:font w:name="方正仿宋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简体">
    <w:panose1 w:val="00000000000000000000"/>
    <w:charset w:val="00"/>
    <w:family w:val="auto"/>
    <w:pitch w:val="variable"/>
    <w:sig w:usb0="00000000" w:usb1="00000000" w:usb2="00000000" w:usb3="00000000" w:csb0="00000000" w:csb1="00000000"/>
  </w:font>
  <w:font w:name="方正黑体简体">
    <w:panose1 w:val="00000000000000000000"/>
    <w:charset w:val="00"/>
    <w:family w:val="auto"/>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auto"/>
    <w:pitch w:val="variable"/>
    <w:sig w:usb0="E00002FF" w:usb1="4000ACFF" w:usb2="00000001" w:usb3="00000000" w:csb0="2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1">
    <w:name w:val="heading 1"/>
    <w:next w:val="0"/>
    <w:pPr>
      <w:keepNext/>
      <w:keepLines/>
      <w:widowControl w:val="0"/>
      <w:adjustRightInd w:val="0"/>
      <w:snapToGrid w:val="0"/>
      <w:spacing w:line="594" w:lineRule="exact"/>
      <w:ind w:firstLineChars="200" w:firstLine="200"/>
      <w:outlineLvl w:val="0"/>
    </w:pPr>
    <w:rPr>
      <w:rFonts w:ascii="Times New Roman" w:eastAsia="方正黑体简体" w:cs="Times New Roman" w:hAnsi="Times New Roman"/>
      <w:b/>
      <w:bCs/>
      <w:kern w:val="44"/>
      <w:sz w:val="32"/>
      <w:szCs w:val="44"/>
      <w:lang w:val="en-US" w:eastAsia="zh-CN" w:bidi="ar-SA"/>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51">
    <w:name w:val="List 2"/>
    <w:basedOn w:val="0"/>
    <w:pPr>
      <w:ind w:left="840" w:firstLineChars="0" w:hanging="420"/>
    </w:pPr>
  </w:style>
  <w:style w:type="paragraph" w:styleId="67">
    <w:name w:val="Body Text Indent"/>
    <w:basedOn w:val="0"/>
    <w:pPr>
      <w:spacing w:after="120"/>
      <w:ind w:left="420"/>
    </w:pPr>
  </w:style>
  <w:style w:type="character" w:styleId="85">
    <w:name w:val="Hyperlink"/>
    <w:basedOn w:val="10"/>
    <w:rPr>
      <w:color w:val="0000FF"/>
      <w:u w:val="single"/>
    </w:rPr>
  </w:style>
  <w:style w:type="paragraph" w:customStyle="1" w:styleId="123">
    <w:name w:val="样式 4 11 磅"/>
    <w:link w:val="123Char"/>
    <w:pPr>
      <w:spacing w:after="200" w:line="276" w:lineRule="auto"/>
    </w:pPr>
    <w:rPr>
      <w:rFonts w:ascii="Calibri" w:eastAsia="宋体" w:cs="Arial" w:hAnsi="Calibri"/>
      <w:sz w:val="22"/>
      <w:szCs w:val="22"/>
      <w:lang w:val="en-US" w:eastAsia="zh-CN" w:bidi="ar-SA"/>
    </w:rPr>
  </w:style>
  <w:style w:type="character" w:customStyle="1" w:styleId="123Char">
    <w:name w:val="样式 4 11 磅 Char"/>
    <w:basedOn w:val="10"/>
    <w:link w:val="123"/>
    <w:rPr>
      <w:rFonts w:ascii="Calibri" w:eastAsia="宋体" w:cs="Arial" w:hAnsi="Calibri"/>
      <w:sz w:val="22"/>
      <w:szCs w:val="22"/>
      <w:lang w:val="en-US" w:eastAsia="zh-CN" w:bidi="ar-SA"/>
    </w:rPr>
  </w:style>
  <w:style w:type="paragraph" w:customStyle="1" w:styleId="124">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5 11 磅"/>
    <w:pPr>
      <w:spacing w:after="200" w:line="276" w:lineRule="auto"/>
    </w:pPr>
    <w:rPr>
      <w:rFonts w:ascii="Calibri" w:eastAsia="宋体" w:cs="Arial" w:hAnsi="Calibri"/>
      <w:sz w:val="22"/>
      <w:szCs w:val="22"/>
      <w:lang w:val="en-US" w:eastAsia="zh-CN" w:bidi="ar-SA"/>
    </w:rPr>
  </w:style>
  <w:style w:type="paragraph" w:customStyle="1" w:styleId="126">
    <w:name w:val="样式 6 11 磅"/>
    <w:pPr>
      <w:spacing w:after="200" w:line="276" w:lineRule="auto"/>
    </w:pPr>
    <w:rPr>
      <w:rFonts w:ascii="Calibri" w:eastAsia="宋体" w:cs="Arial" w:hAnsi="Calibri"/>
      <w:sz w:val="22"/>
      <w:szCs w:val="22"/>
      <w:lang w:val="en-US" w:eastAsia="zh-CN" w:bidi="ar-SA"/>
    </w:rPr>
  </w:style>
  <w:style w:type="paragraph" w:customStyle="1" w:styleId="127">
    <w:name w:val="样式 7 11 磅"/>
    <w:pPr>
      <w:spacing w:after="200" w:line="276" w:lineRule="auto"/>
    </w:pPr>
    <w:rPr>
      <w:rFonts w:ascii="Calibri" w:eastAsia="宋体" w:cs="Arial" w:hAnsi="Calibri"/>
      <w:sz w:val="22"/>
      <w:szCs w:val="22"/>
      <w:lang w:val="en-US" w:eastAsia="zh-CN" w:bidi="ar-SA"/>
    </w:rPr>
  </w:style>
  <w:style w:type="paragraph" w:customStyle="1" w:styleId="128">
    <w:name w:val="样式 13 小四"/>
    <w:pPr>
      <w:spacing w:before="100" w:beforeAutospacing="1" w:after="100" w:afterAutospacing="1"/>
    </w:pPr>
    <w:rPr>
      <w:rFonts w:ascii="宋体" w:eastAsia="宋体" w:cs="Times New Roman"/>
      <w:sz w:val="24"/>
      <w:szCs w:val="24"/>
      <w:lang w:val="en-US" w:eastAsia="zh-CN" w:bidi="ar-SA"/>
    </w:rPr>
  </w:style>
  <w:style w:type="paragraph" w:customStyle="1" w:styleId="129">
    <w:name w:val="样式 2 10 磅"/>
    <w:next w:val="51"/>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8 11 磅"/>
    <w:pPr>
      <w:spacing w:after="200" w:line="276" w:lineRule="auto"/>
    </w:pPr>
    <w:rPr>
      <w:rFonts w:ascii="Calibri" w:eastAsia="宋体" w:cs="Arial" w:hAnsi="Calibri"/>
      <w:sz w:val="22"/>
      <w:szCs w:val="22"/>
      <w:lang w:val="en-US" w:eastAsia="zh-CN" w:bidi="ar-SA"/>
    </w:rPr>
  </w:style>
  <w:style w:type="paragraph" w:customStyle="1" w:styleId="131">
    <w:name w:val="样式 9 11 磅"/>
    <w:pPr>
      <w:spacing w:after="200" w:line="276" w:lineRule="auto"/>
    </w:pPr>
    <w:rPr>
      <w:rFonts w:ascii="Calibri" w:eastAsia="宋体" w:cs="Arial" w:hAnsi="Calibri"/>
      <w:sz w:val="22"/>
      <w:szCs w:val="22"/>
      <w:lang w:val="en-US" w:eastAsia="zh-CN" w:bidi="ar-SA"/>
    </w:rPr>
  </w:style>
  <w:style w:type="paragraph" w:customStyle="1" w:styleId="132">
    <w:name w:val="样式 10 11 磅"/>
    <w:pPr>
      <w:spacing w:after="200" w:line="276" w:lineRule="auto"/>
    </w:pPr>
    <w:rPr>
      <w:rFonts w:ascii="Calibri" w:eastAsia="宋体" w:cs="Arial" w:hAnsi="Calibri"/>
      <w:sz w:val="22"/>
      <w:szCs w:val="22"/>
      <w:lang w:val="en-US" w:eastAsia="zh-CN" w:bidi="ar-SA"/>
    </w:rPr>
  </w:style>
  <w:style w:type="paragraph" w:customStyle="1" w:styleId="133">
    <w:name w:val="样式 11 11 磅"/>
    <w:pPr>
      <w:spacing w:after="200" w:line="276" w:lineRule="auto"/>
    </w:pPr>
    <w:rPr>
      <w:rFonts w:ascii="Calibri" w:eastAsia="宋体" w:cs="Arial" w:hAnsi="Calibri"/>
      <w:sz w:val="22"/>
      <w:szCs w:val="22"/>
      <w:lang w:val="en-US" w:eastAsia="zh-CN" w:bidi="ar-SA"/>
    </w:rPr>
  </w:style>
  <w:style w:type="paragraph" w:customStyle="1" w:styleId="134">
    <w:name w:val="样式 12 11 磅"/>
    <w:pPr>
      <w:spacing w:after="200" w:line="276" w:lineRule="auto"/>
    </w:pPr>
    <w:rPr>
      <w:rFonts w:ascii="Calibri" w:eastAsia="宋体" w:cs="Arial" w:hAnsi="Calibri"/>
      <w:sz w:val="22"/>
      <w:szCs w:val="22"/>
      <w:lang w:val="en-US" w:eastAsia="zh-CN" w:bidi="ar-SA"/>
    </w:rPr>
  </w:style>
  <w:style w:type="paragraph" w:customStyle="1" w:styleId="135">
    <w:name w:val="样式 3 三号"/>
    <w:next w:val="85"/>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136">
    <w:name w:val="样式 16 11 磅"/>
    <w:pPr>
      <w:spacing w:after="200" w:line="276" w:lineRule="auto"/>
    </w:pPr>
    <w:rPr>
      <w:rFonts w:ascii="Calibri" w:eastAsia="宋体" w:cs="Arial" w:hAnsi="Calibri"/>
      <w:sz w:val="22"/>
      <w:szCs w:val="22"/>
      <w:lang w:val="en-US" w:eastAsia="zh-CN" w:bidi="ar-SA"/>
    </w:rPr>
  </w:style>
  <w:style w:type="paragraph" w:customStyle="1" w:styleId="137">
    <w:name w:val="样式 17 11 磅"/>
    <w:pPr>
      <w:spacing w:after="200" w:line="276" w:lineRule="auto"/>
    </w:pPr>
    <w:rPr>
      <w:rFonts w:ascii="Calibri" w:eastAsia="宋体" w:cs="Arial" w:hAnsi="Calibri"/>
      <w:sz w:val="22"/>
      <w:szCs w:val="22"/>
      <w:lang w:val="en-US" w:eastAsia="zh-CN" w:bidi="ar-SA"/>
    </w:rPr>
  </w:style>
  <w:style w:type="paragraph" w:customStyle="1" w:styleId="138">
    <w:name w:val="样式 19 11 磅"/>
    <w:pPr>
      <w:spacing w:after="200" w:line="276" w:lineRule="auto"/>
    </w:pPr>
    <w:rPr>
      <w:rFonts w:ascii="Calibri" w:eastAsia="宋体" w:cs="Arial" w:hAnsi="Calibri"/>
      <w:sz w:val="22"/>
      <w:szCs w:val="22"/>
      <w:lang w:val="en-US" w:eastAsia="zh-CN" w:bidi="ar-SA"/>
    </w:rPr>
  </w:style>
  <w:style w:type="paragraph" w:customStyle="1" w:styleId="139">
    <w:name w:val="样式 20 11 磅"/>
    <w:pPr>
      <w:spacing w:after="200" w:line="276" w:lineRule="auto"/>
    </w:pPr>
    <w:rPr>
      <w:rFonts w:ascii="Calibri" w:eastAsia="宋体" w:cs="Arial" w:hAnsi="Calibri"/>
      <w:sz w:val="22"/>
      <w:szCs w:val="22"/>
      <w:lang w:val="en-US" w:eastAsia="zh-CN" w:bidi="ar-SA"/>
    </w:rPr>
  </w:style>
  <w:style w:type="paragraph" w:customStyle="1" w:styleId="140">
    <w:name w:val="样式 22 11 磅"/>
    <w:pPr>
      <w:spacing w:after="200" w:line="276" w:lineRule="auto"/>
    </w:pPr>
    <w:rPr>
      <w:rFonts w:ascii="Calibri" w:eastAsia="宋体" w:cs="Arial" w:hAnsi="Calibri"/>
      <w:sz w:val="22"/>
      <w:szCs w:val="22"/>
      <w:lang w:val="en-US" w:eastAsia="zh-CN" w:bidi="ar-SA"/>
    </w:rPr>
  </w:style>
  <w:style w:type="paragraph" w:customStyle="1" w:styleId="141">
    <w:name w:val="样式 25 11 磅"/>
    <w:pPr>
      <w:spacing w:after="200" w:line="276" w:lineRule="auto"/>
    </w:pPr>
    <w:rPr>
      <w:rFonts w:ascii="Calibri" w:eastAsia="宋体" w:cs="Arial" w:hAnsi="Calibri"/>
      <w:sz w:val="22"/>
      <w:szCs w:val="22"/>
      <w:lang w:val="en-US" w:eastAsia="zh-CN" w:bidi="ar-SA"/>
    </w:rPr>
  </w:style>
  <w:style w:type="paragraph" w:customStyle="1" w:styleId="142">
    <w:name w:val="样式 26 11 磅"/>
    <w:pPr>
      <w:spacing w:after="200" w:line="276" w:lineRule="auto"/>
    </w:pPr>
    <w:rPr>
      <w:rFonts w:ascii="Calibri" w:eastAsia="宋体" w:cs="Arial" w:hAnsi="Calibri"/>
      <w:sz w:val="22"/>
      <w:szCs w:val="22"/>
      <w:lang w:val="en-US" w:eastAsia="zh-CN" w:bidi="ar-SA"/>
    </w:rPr>
  </w:style>
  <w:style w:type="paragraph" w:customStyle="1" w:styleId="143">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5 10 磅"/>
    <w:next w:val="67"/>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32 11 磅"/>
    <w:pPr>
      <w:spacing w:after="200" w:line="276" w:lineRule="auto"/>
    </w:pPr>
    <w:rPr>
      <w:rFonts w:ascii="Calibri" w:eastAsia="宋体" w:cs="Arial" w:hAnsi="Calibri"/>
      <w:sz w:val="22"/>
      <w:szCs w:val="22"/>
      <w:lang w:val="en-US" w:eastAsia="zh-CN" w:bidi="ar-SA"/>
    </w:rPr>
  </w:style>
  <w:style w:type="paragraph" w:customStyle="1" w:styleId="146">
    <w:name w:val="样式 42 11 磅"/>
    <w:pPr>
      <w:spacing w:after="200" w:line="276" w:lineRule="auto"/>
    </w:pPr>
    <w:rPr>
      <w:rFonts w:ascii="Calibri" w:eastAsia="宋体" w:cs="Arial" w:hAnsi="Calibri"/>
      <w:sz w:val="22"/>
      <w:szCs w:val="22"/>
      <w:lang w:val="en-US" w:eastAsia="zh-CN" w:bidi="ar-SA"/>
    </w:rPr>
  </w:style>
  <w:style w:type="paragraph" w:customStyle="1" w:styleId="147">
    <w:name w:val="样式 41 10 磅"/>
    <w:pPr>
      <w:keepNext/>
      <w:keepLines/>
      <w:widowControl w:val="0"/>
      <w:spacing w:before="260" w:after="260"/>
      <w:jc w:val="both"/>
      <w:outlineLvl w:val="1"/>
    </w:pPr>
    <w:rPr>
      <w:rFonts w:ascii="Arial" w:eastAsia="宋体" w:cs="Times New Roman" w:hAnsi="Arial"/>
      <w:b/>
      <w:kern w:val="2"/>
      <w:sz w:val="21"/>
      <w:szCs w:val="24"/>
      <w:lang w:val="en-US" w:eastAsia="zh-CN" w:bidi="ar-SA"/>
    </w:rPr>
  </w:style>
  <w:style w:type="paragraph" w:customStyle="1" w:styleId="14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43 11 磅"/>
    <w:pPr>
      <w:spacing w:after="200" w:line="276" w:lineRule="auto"/>
    </w:pPr>
    <w:rPr>
      <w:rFonts w:ascii="Calibri" w:eastAsia="宋体" w:cs="Arial" w:hAnsi="Calibri"/>
      <w:sz w:val="22"/>
      <w:szCs w:val="22"/>
      <w:lang w:val="en-US" w:eastAsia="zh-CN" w:bidi="ar-SA"/>
    </w:rPr>
  </w:style>
  <w:style w:type="paragraph" w:customStyle="1" w:styleId="150">
    <w:name w:val="样式 69 11 磅"/>
    <w:pPr>
      <w:spacing w:after="200" w:line="276" w:lineRule="auto"/>
    </w:pPr>
    <w:rPr>
      <w:rFonts w:ascii="Calibri" w:eastAsia="宋体" w:cs="Arial" w:hAnsi="Calibri"/>
      <w:sz w:val="22"/>
      <w:szCs w:val="22"/>
      <w:lang w:val="en-US" w:eastAsia="zh-CN" w:bidi="ar-SA"/>
    </w:rPr>
  </w:style>
  <w:style w:type="paragraph" w:customStyle="1" w:styleId="151">
    <w:name w:val="样式 68 11 磅"/>
    <w:pPr>
      <w:spacing w:after="200" w:line="276" w:lineRule="auto"/>
    </w:pPr>
    <w:rPr>
      <w:rFonts w:ascii="Calibri" w:eastAsia="宋体" w:cs="Arial" w:hAnsi="Calibri"/>
      <w:sz w:val="22"/>
      <w:szCs w:val="22"/>
      <w:lang w:val="en-US" w:eastAsia="zh-CN" w:bidi="ar-SA"/>
    </w:rPr>
  </w:style>
  <w:style w:type="paragraph" w:customStyle="1" w:styleId="152">
    <w:name w:val="样式 67 11 磅"/>
    <w:pPr>
      <w:spacing w:after="200" w:line="276" w:lineRule="auto"/>
    </w:pPr>
    <w:rPr>
      <w:rFonts w:ascii="Calibri" w:eastAsia="宋体" w:cs="Arial" w:hAnsi="Calibri"/>
      <w:sz w:val="22"/>
      <w:szCs w:val="22"/>
      <w:lang w:val="en-US" w:eastAsia="zh-CN" w:bidi="ar-SA"/>
    </w:rPr>
  </w:style>
  <w:style w:type="paragraph" w:customStyle="1" w:styleId="153">
    <w:name w:val="样式 66 11 磅"/>
    <w:pPr>
      <w:spacing w:after="200" w:line="276" w:lineRule="auto"/>
    </w:pPr>
    <w:rPr>
      <w:rFonts w:ascii="Calibri" w:eastAsia="宋体" w:cs="Arial" w:hAnsi="Calibri"/>
      <w:sz w:val="22"/>
      <w:szCs w:val="22"/>
      <w:lang w:val="en-US" w:eastAsia="zh-CN" w:bidi="ar-SA"/>
    </w:rPr>
  </w:style>
  <w:style w:type="paragraph" w:customStyle="1" w:styleId="154">
    <w:name w:val="样式 65 11 磅"/>
    <w:pPr>
      <w:spacing w:after="200" w:line="276" w:lineRule="auto"/>
    </w:pPr>
    <w:rPr>
      <w:rFonts w:ascii="Calibri" w:eastAsia="宋体" w:cs="Arial" w:hAnsi="Calibri"/>
      <w:sz w:val="22"/>
      <w:szCs w:val="22"/>
      <w:lang w:val="en-US" w:eastAsia="zh-CN" w:bidi="ar-SA"/>
    </w:rPr>
  </w:style>
  <w:style w:type="paragraph" w:customStyle="1" w:styleId="155">
    <w:name w:val="样式 64 11 磅"/>
    <w:pPr>
      <w:spacing w:after="200" w:line="276" w:lineRule="auto"/>
    </w:pPr>
    <w:rPr>
      <w:rFonts w:ascii="Calibri" w:eastAsia="宋体" w:cs="Arial" w:hAnsi="Calibri"/>
      <w:sz w:val="22"/>
      <w:szCs w:val="22"/>
      <w:lang w:val="en-US" w:eastAsia="zh-CN" w:bidi="ar-SA"/>
    </w:rPr>
  </w:style>
  <w:style w:type="paragraph" w:customStyle="1" w:styleId="156">
    <w:name w:val="样式 63 11 磅"/>
    <w:pPr>
      <w:spacing w:after="200" w:line="276" w:lineRule="auto"/>
    </w:pPr>
    <w:rPr>
      <w:rFonts w:ascii="Calibri" w:eastAsia="宋体" w:cs="Arial" w:hAnsi="Calibri"/>
      <w:sz w:val="22"/>
      <w:szCs w:val="22"/>
      <w:lang w:val="en-US" w:eastAsia="zh-CN" w:bidi="ar-SA"/>
    </w:rPr>
  </w:style>
  <w:style w:type="paragraph" w:customStyle="1" w:styleId="157">
    <w:name w:val="样式 62 11 磅"/>
    <w:pPr>
      <w:spacing w:after="200" w:line="276" w:lineRule="auto"/>
    </w:pPr>
    <w:rPr>
      <w:rFonts w:ascii="Calibri" w:eastAsia="宋体" w:cs="Arial" w:hAnsi="Calibri"/>
      <w:sz w:val="22"/>
      <w:szCs w:val="22"/>
      <w:lang w:val="en-US" w:eastAsia="zh-CN" w:bidi="ar-SA"/>
    </w:rPr>
  </w:style>
  <w:style w:type="paragraph" w:customStyle="1" w:styleId="158">
    <w:name w:val="样式 61 11 磅"/>
    <w:pPr>
      <w:spacing w:after="200" w:line="276" w:lineRule="auto"/>
    </w:pPr>
    <w:rPr>
      <w:rFonts w:ascii="Calibri" w:eastAsia="宋体" w:cs="Arial" w:hAnsi="Calibri"/>
      <w:sz w:val="22"/>
      <w:szCs w:val="22"/>
      <w:lang w:val="en-US" w:eastAsia="zh-CN" w:bidi="ar-SA"/>
    </w:rPr>
  </w:style>
  <w:style w:type="paragraph" w:customStyle="1" w:styleId="159">
    <w:name w:val="样式 60 11 磅"/>
    <w:pPr>
      <w:spacing w:after="200" w:line="276" w:lineRule="auto"/>
    </w:pPr>
    <w:rPr>
      <w:rFonts w:ascii="Calibri" w:eastAsia="宋体" w:cs="Arial" w:hAnsi="Calibri"/>
      <w:sz w:val="22"/>
      <w:szCs w:val="22"/>
      <w:lang w:val="en-US" w:eastAsia="zh-CN" w:bidi="ar-SA"/>
    </w:rPr>
  </w:style>
  <w:style w:type="paragraph" w:customStyle="1" w:styleId="160">
    <w:name w:val="样式 59 11 磅"/>
    <w:pPr>
      <w:spacing w:after="200" w:line="276" w:lineRule="auto"/>
    </w:pPr>
    <w:rPr>
      <w:rFonts w:ascii="Calibri" w:eastAsia="宋体" w:cs="Arial" w:hAnsi="Calibri"/>
      <w:sz w:val="22"/>
      <w:szCs w:val="22"/>
      <w:lang w:val="en-US" w:eastAsia="zh-CN" w:bidi="ar-SA"/>
    </w:rPr>
  </w:style>
  <w:style w:type="paragraph" w:customStyle="1" w:styleId="161">
    <w:name w:val="样式 58 11 磅"/>
    <w:pPr>
      <w:spacing w:after="200" w:line="276" w:lineRule="auto"/>
    </w:pPr>
    <w:rPr>
      <w:rFonts w:ascii="Calibri" w:eastAsia="宋体" w:cs="Arial" w:hAnsi="Calibri"/>
      <w:sz w:val="22"/>
      <w:szCs w:val="22"/>
      <w:lang w:val="en-US" w:eastAsia="zh-CN" w:bidi="ar-SA"/>
    </w:rPr>
  </w:style>
  <w:style w:type="paragraph" w:customStyle="1" w:styleId="162">
    <w:name w:val="样式 57 11 磅"/>
    <w:pPr>
      <w:spacing w:after="200" w:line="276" w:lineRule="auto"/>
    </w:pPr>
    <w:rPr>
      <w:rFonts w:ascii="Calibri" w:eastAsia="宋体" w:cs="Arial" w:hAnsi="Calibri"/>
      <w:sz w:val="22"/>
      <w:szCs w:val="22"/>
      <w:lang w:val="en-US" w:eastAsia="zh-CN" w:bidi="ar-SA"/>
    </w:rPr>
  </w:style>
  <w:style w:type="paragraph" w:customStyle="1" w:styleId="163">
    <w:name w:val="样式 56 11 磅"/>
    <w:pPr>
      <w:spacing w:after="200" w:line="276" w:lineRule="auto"/>
    </w:pPr>
    <w:rPr>
      <w:rFonts w:ascii="Calibri" w:eastAsia="宋体" w:cs="Arial" w:hAnsi="Calibri"/>
      <w:sz w:val="22"/>
      <w:szCs w:val="22"/>
      <w:lang w:val="en-US" w:eastAsia="zh-CN" w:bidi="ar-SA"/>
    </w:rPr>
  </w:style>
  <w:style w:type="paragraph" w:customStyle="1" w:styleId="164">
    <w:name w:val="样式 55 11 磅"/>
    <w:pPr>
      <w:spacing w:after="200" w:line="276" w:lineRule="auto"/>
    </w:pPr>
    <w:rPr>
      <w:rFonts w:ascii="Calibri" w:eastAsia="宋体" w:cs="Arial" w:hAnsi="Calibri"/>
      <w:sz w:val="2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24</Pages>
  <Words>8903</Words>
  <Characters>9106</Characters>
  <Lines>567</Lines>
  <Paragraphs>253</Paragraphs>
  <CharactersWithSpaces>9308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刘金良</cp:lastModifiedBy>
  <cp:revision>0</cp:revision>
  <dcterms:created xsi:type="dcterms:W3CDTF">2021-09-17T09:38:28Z</dcterms:created>
  <dcterms:modified xsi:type="dcterms:W3CDTF">2021-09-17T09:39:00Z</dcterms:modified>
</cp:coreProperties>
</file>