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
        <w:pBdr>
          <w:top w:val="none" w:sz="0" w:space="0" w:color="auto"/>
          <w:left w:val="none" w:sz="0" w:space="0" w:color="auto"/>
          <w:bottom w:val="none" w:sz="0" w:space="0" w:color="auto"/>
          <w:right w:val="none" w:sz="0" w:space="0" w:color="auto"/>
        </w:pBdr>
        <w:shd w:val="clear" w:color="auto" w:fill="FFFFFF"/>
        <w:spacing w:before="0" w:beforeAutospacing="0" w:after="0" w:afterAutospacing="0" w:line="839" w:lineRule="atLeast"/>
        <w:ind w:left="0" w:right="0" w:firstLine="0"/>
        <w:jc w:val="center"/>
        <w:outlineLvl w:val="1"/>
        <w:rPr>
          <w:rFonts w:ascii="方正小标宋_GBK" w:eastAsia="方正小标宋_GBK" w:hint="eastAsia"/>
          <w:b w:val="0"/>
          <w:bCs w:val="0"/>
          <w:i w:val="0"/>
          <w:iCs w:val="0"/>
          <w:caps w:val="0"/>
          <w:smallCaps w:val="0"/>
          <w:strike w:val="0"/>
          <w:dstrike w:val="0"/>
          <w:vanish w:val="0"/>
          <w:color w:val="333333"/>
          <w:spacing w:val="0"/>
          <w:sz w:val="44"/>
          <w:szCs w:val="44"/>
          <w:u w:val="none"/>
        </w:rPr>
      </w:pPr>
      <w:r>
        <w:rPr>
          <w:rFonts w:ascii="方正小标宋_GBK" w:eastAsia="方正小标宋_GBK" w:hint="eastAsia"/>
          <w:b w:val="0"/>
          <w:bCs w:val="0"/>
          <w:i w:val="0"/>
          <w:iCs w:val="0"/>
          <w:caps w:val="0"/>
          <w:smallCaps w:val="0"/>
          <w:strike w:val="0"/>
          <w:dstrike w:val="0"/>
          <w:vanish w:val="0"/>
          <w:color w:val="333333"/>
          <w:spacing w:val="0"/>
          <w:sz w:val="44"/>
          <w:szCs w:val="44"/>
          <w:u w:val="none"/>
        </w:rPr>
        <w:t>呼和浩特海关关区2020年政府信息公开工作年度报告</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根据《中华人民共和国政府信息公开条例》（国务院令第711号），以及海关总署办公厅</w:t>
      </w:r>
      <w:r>
        <w:rPr>
          <w:rFonts w:ascii="方正仿宋_GBK" w:eastAsia="方正仿宋_GBK"/>
          <w:b w:val="0"/>
          <w:bCs w:val="0"/>
          <w:i w:val="0"/>
          <w:iCs w:val="0"/>
          <w:caps w:val="0"/>
          <w:smallCaps w:val="0"/>
          <w:strike w:val="0"/>
          <w:dstrike w:val="0"/>
          <w:vanish w:val="0"/>
          <w:color w:val="333333"/>
          <w:spacing w:val="0"/>
          <w:sz w:val="32"/>
          <w:szCs w:val="32"/>
          <w:u w:val="none"/>
        </w:rPr>
        <w:t>《</w:t>
      </w:r>
      <w:r>
        <w:rPr>
          <w:rFonts w:ascii="方正仿宋_GBK" w:eastAsia="方正仿宋_GBK" w:hint="eastAsia"/>
          <w:b w:val="0"/>
          <w:bCs w:val="0"/>
          <w:i w:val="0"/>
          <w:iCs w:val="0"/>
          <w:caps w:val="0"/>
          <w:smallCaps w:val="0"/>
          <w:strike w:val="0"/>
          <w:dstrike w:val="0"/>
          <w:vanish w:val="0"/>
          <w:color w:val="333333"/>
          <w:spacing w:val="0"/>
          <w:sz w:val="32"/>
          <w:szCs w:val="32"/>
          <w:u w:val="none"/>
        </w:rPr>
        <w:t>关于做好2020年政府信息公开年报编制及政务公开年终有关工作的通知》要求，编制《呼和浩特海关</w:t>
      </w:r>
      <w:r>
        <w:rPr>
          <w:rFonts w:ascii="方正仿宋_GBK" w:eastAsia="方正仿宋_GBK"/>
          <w:b w:val="0"/>
          <w:bCs w:val="0"/>
          <w:i w:val="0"/>
          <w:iCs w:val="0"/>
          <w:caps w:val="0"/>
          <w:smallCaps w:val="0"/>
          <w:strike w:val="0"/>
          <w:dstrike w:val="0"/>
          <w:vanish w:val="0"/>
          <w:color w:val="333333"/>
          <w:spacing w:val="0"/>
          <w:sz w:val="32"/>
          <w:szCs w:val="32"/>
          <w:u w:val="none"/>
        </w:rPr>
        <w:t>关区</w:t>
      </w:r>
      <w:r>
        <w:rPr>
          <w:rFonts w:ascii="方正仿宋_GBK" w:eastAsia="方正仿宋_GBK" w:hint="eastAsia"/>
          <w:b w:val="0"/>
          <w:bCs w:val="0"/>
          <w:i w:val="0"/>
          <w:iCs w:val="0"/>
          <w:caps w:val="0"/>
          <w:smallCaps w:val="0"/>
          <w:strike w:val="0"/>
          <w:dstrike w:val="0"/>
          <w:vanish w:val="0"/>
          <w:color w:val="333333"/>
          <w:spacing w:val="0"/>
          <w:sz w:val="32"/>
          <w:szCs w:val="32"/>
          <w:u w:val="none"/>
        </w:rPr>
        <w:t>2020年政府信息公开工作年度报告》，现予以公开发布。  </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w:t>
      </w:r>
      <w:r>
        <w:rPr>
          <w:rFonts w:ascii="方正黑体_GBK" w:eastAsia="方正黑体_GBK" w:hint="eastAsia"/>
          <w:b w:val="0"/>
          <w:bCs w:val="0"/>
          <w:i w:val="0"/>
          <w:iCs w:val="0"/>
          <w:caps w:val="0"/>
          <w:smallCaps w:val="0"/>
          <w:strike w:val="0"/>
          <w:dstrike w:val="0"/>
          <w:vanish w:val="0"/>
          <w:color w:val="333333"/>
          <w:spacing w:val="0"/>
          <w:sz w:val="32"/>
          <w:szCs w:val="32"/>
          <w:u w:val="none"/>
        </w:rPr>
        <w:t>一、总体情况</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w:t>
      </w:r>
      <w:r>
        <w:rPr>
          <w:rFonts w:ascii="方正楷体_GBK" w:eastAsia="方正楷体_GBK" w:hint="eastAsia"/>
          <w:b w:val="0"/>
          <w:bCs w:val="0"/>
          <w:i w:val="0"/>
          <w:iCs w:val="0"/>
          <w:caps w:val="0"/>
          <w:smallCaps w:val="0"/>
          <w:strike w:val="0"/>
          <w:dstrike w:val="0"/>
          <w:vanish w:val="0"/>
          <w:color w:val="333333"/>
          <w:spacing w:val="0"/>
          <w:sz w:val="32"/>
          <w:szCs w:val="32"/>
          <w:u w:val="none"/>
        </w:rPr>
        <w:t>（一）强化组织领导，完善工作机制，推进工作落实。</w:t>
      </w:r>
      <w:r>
        <w:rPr>
          <w:rFonts w:ascii="方正仿宋_GBK" w:eastAsia="方正仿宋_GBK" w:hint="eastAsia"/>
          <w:b w:val="0"/>
          <w:bCs w:val="0"/>
          <w:i w:val="0"/>
          <w:iCs w:val="0"/>
          <w:caps w:val="0"/>
          <w:smallCaps w:val="0"/>
          <w:strike w:val="0"/>
          <w:dstrike w:val="0"/>
          <w:vanish w:val="0"/>
          <w:color w:val="333333"/>
          <w:spacing w:val="0"/>
          <w:sz w:val="32"/>
          <w:szCs w:val="32"/>
          <w:u w:val="none"/>
        </w:rPr>
        <w:t>2020年，我关新一届关党委成立后，及时调整呼和浩特海关政务公开领导小组成员，明确机关本级政务公开领导小组及其办公室、成员单位职责任务，10个隶属海关和4个直属事业单位也相继成立并调整了政务公开领导小组，明确责任分工，形成关区统一管理，统筹协调指导，各部门单位具体负责的运行机制。关党委高度重视政府信息公开工作，结合关区实际及时跟进部署，分管关领导多次对相关文件做出批示，主管部门狠抓关区政府信息公开规范化、制度化、智能化建设，及时细化制定《呼和浩特海关2020年政务公开工作要点》，关区各部门和隶属海关单位认真组织，强化执行，有效推进政府信息公开工作的全面落实。</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w:t>
      </w:r>
      <w:r>
        <w:rPr>
          <w:rFonts w:ascii="方正楷体_GBK" w:eastAsia="方正楷体_GBK" w:hint="eastAsia"/>
          <w:b w:val="0"/>
          <w:bCs w:val="0"/>
          <w:i w:val="0"/>
          <w:iCs w:val="0"/>
          <w:caps w:val="0"/>
          <w:smallCaps w:val="0"/>
          <w:strike w:val="0"/>
          <w:dstrike w:val="0"/>
          <w:vanish w:val="0"/>
          <w:color w:val="333333"/>
          <w:spacing w:val="0"/>
          <w:sz w:val="32"/>
          <w:szCs w:val="32"/>
          <w:u w:val="none"/>
        </w:rPr>
        <w:t>（二）加强制度建设，夯实政府信息公开管理基础。</w:t>
      </w:r>
      <w:r>
        <w:rPr>
          <w:rFonts w:ascii="方正仿宋_GBK" w:eastAsia="方正仿宋_GBK" w:hint="eastAsia"/>
          <w:b w:val="0"/>
          <w:bCs w:val="0"/>
          <w:i w:val="0"/>
          <w:iCs w:val="0"/>
          <w:caps w:val="0"/>
          <w:smallCaps w:val="0"/>
          <w:strike w:val="0"/>
          <w:dstrike w:val="0"/>
          <w:vanish w:val="0"/>
          <w:color w:val="333333"/>
          <w:spacing w:val="0"/>
          <w:sz w:val="32"/>
          <w:szCs w:val="32"/>
          <w:u w:val="none"/>
        </w:rPr>
        <w:t>年内修订印发《呼和浩特海关政府信息公开工作规程》《呼和浩特海关互联网门户网站管理办法》，调整更新《呼和浩特海关政府信息主动公开基本目录》《呼和浩特海关政府信</w:t>
      </w:r>
      <w:r>
        <w:rPr>
          <w:rFonts w:ascii="方正仿宋_GBK" w:eastAsia="方正仿宋_GBK"/>
          <w:b w:val="0"/>
          <w:bCs w:val="0"/>
          <w:i w:val="0"/>
          <w:iCs w:val="0"/>
          <w:caps w:val="0"/>
          <w:smallCaps w:val="0"/>
          <w:strike w:val="0"/>
          <w:dstrike w:val="0"/>
          <w:vanish w:val="0"/>
          <w:color w:val="333333"/>
          <w:spacing w:val="0"/>
          <w:sz w:val="32"/>
          <w:szCs w:val="32"/>
          <w:u w:val="none"/>
        </w:rPr>
        <w:t>息</w:t>
      </w:r>
      <w:bookmarkStart w:id="0" w:name="_GoBack"/>
      <w:bookmarkEnd w:id="0"/>
      <w:r>
        <w:rPr>
          <w:rFonts w:ascii="方正仿宋_GBK" w:eastAsia="方正仿宋_GBK" w:hint="eastAsia"/>
          <w:b w:val="0"/>
          <w:bCs w:val="0"/>
          <w:i w:val="0"/>
          <w:iCs w:val="0"/>
          <w:caps w:val="0"/>
          <w:smallCaps w:val="0"/>
          <w:strike w:val="0"/>
          <w:dstrike w:val="0"/>
          <w:vanish w:val="0"/>
          <w:color w:val="333333"/>
          <w:spacing w:val="0"/>
          <w:sz w:val="32"/>
          <w:szCs w:val="32"/>
          <w:u w:val="none"/>
        </w:rPr>
        <w:t>公开指南》《呼和浩特海关政务服务事项办事指南》《呼和浩特海关政府信息编制规范（试行）》等制度，推进政府信息编制、审核、发布目录化、系统化、规范化管理，进一步夯实政府信息公开工作基础。</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w:t>
      </w:r>
      <w:r>
        <w:rPr>
          <w:rFonts w:ascii="方正楷体_GBK" w:eastAsia="方正楷体_GBK" w:hint="eastAsia"/>
          <w:b w:val="0"/>
          <w:bCs w:val="0"/>
          <w:i w:val="0"/>
          <w:iCs w:val="0"/>
          <w:caps w:val="0"/>
          <w:smallCaps w:val="0"/>
          <w:strike w:val="0"/>
          <w:dstrike w:val="0"/>
          <w:vanish w:val="0"/>
          <w:color w:val="333333"/>
          <w:spacing w:val="0"/>
          <w:sz w:val="32"/>
          <w:szCs w:val="32"/>
          <w:u w:val="none"/>
        </w:rPr>
        <w:t>（三）围绕贯彻落实党的十九届五中全会精神，加强用权公开。</w:t>
      </w:r>
      <w:r>
        <w:rPr>
          <w:rFonts w:ascii="方正仿宋_GBK" w:eastAsia="方正仿宋_GBK" w:hint="eastAsia"/>
          <w:b w:val="0"/>
          <w:bCs w:val="0"/>
          <w:i w:val="0"/>
          <w:iCs w:val="0"/>
          <w:caps w:val="0"/>
          <w:smallCaps w:val="0"/>
          <w:strike w:val="0"/>
          <w:dstrike w:val="0"/>
          <w:vanish w:val="0"/>
          <w:color w:val="333333"/>
          <w:spacing w:val="0"/>
          <w:sz w:val="32"/>
          <w:szCs w:val="32"/>
          <w:u w:val="none"/>
        </w:rPr>
        <w:t>一是以权责清单为依托，加强权力配置信息公开。全面梳理呼关依法行使的行政权力和依法承担的公共服务职责，更新完善《呼和浩特海关权责清单》；二是重新梳理机关本级及隶属海关应当依法公开的工作职能、机构设置等信息，组织编写并向社会公开相关机构职能目录；三是以政府信息公开标准化、规范化为抓手，加强机关本级及隶属海关权力运行过程信息公开，对涉及相对人权益的重大行政决策，均能通过适当方式听取利益相关方、地方政府和社会公众意见，及时公开权力运行信息，并加强运行过程中指导和政策解读；四是按照“谁执法、谁公示”的原则，对关区行政处罚、行政强制决定事项进行了全面梳理，完成机构改革以来关区已作出的行政处罚、行政强制决定事项的执法依据、条件和程序的公开。</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w:t>
      </w:r>
      <w:r>
        <w:rPr>
          <w:rFonts w:ascii="方正楷体_GBK" w:eastAsia="方正楷体_GBK" w:hint="eastAsia"/>
          <w:b w:val="0"/>
          <w:bCs w:val="0"/>
          <w:i w:val="0"/>
          <w:iCs w:val="0"/>
          <w:caps w:val="0"/>
          <w:smallCaps w:val="0"/>
          <w:strike w:val="0"/>
          <w:dstrike w:val="0"/>
          <w:vanish w:val="0"/>
          <w:color w:val="333333"/>
          <w:spacing w:val="0"/>
          <w:sz w:val="32"/>
          <w:szCs w:val="32"/>
          <w:u w:val="none"/>
        </w:rPr>
        <w:t>（四）重点领域的政策发布解读和信息公开取得实效。</w:t>
      </w:r>
      <w:r>
        <w:rPr>
          <w:rFonts w:ascii="方正仿宋_GBK" w:eastAsia="方正仿宋_GBK" w:hint="eastAsia"/>
          <w:b w:val="0"/>
          <w:bCs w:val="0"/>
          <w:i w:val="0"/>
          <w:iCs w:val="0"/>
          <w:caps w:val="0"/>
          <w:smallCaps w:val="0"/>
          <w:strike w:val="0"/>
          <w:dstrike w:val="0"/>
          <w:vanish w:val="0"/>
          <w:color w:val="333333"/>
          <w:spacing w:val="0"/>
          <w:sz w:val="32"/>
          <w:szCs w:val="32"/>
          <w:u w:val="none"/>
        </w:rPr>
        <w:t>一是紧紧围绕海关“六稳”“六保”重大部署和重点工作任务，有效督促关区各部门单位及时发布政策信息，及时编制《呼和浩特海关新冠肺炎疫情防控物资出口通关解读》，在互联网门户网站发布政策解读8篇，加强舆论引导，全面阐释各项政策举措及其效果。制定出台《呼和浩特海关应对疫情影响促进外贸稳增长22条措施》，为有效克服新冠肺炎疫情影响，努力实现今年经济社会发展目标任务营造良好环境。二是有效提高政务服务透明度便利度。依托海关管理网和移动UC系统创新建设“智慧政务公开”平台，实现通过HB2012系统 “政务公开”模块一次审核后，在全关区范围内第一时间统一、规范地将需主动公开的海关政府信息，推送到各业务现场的展示终端，有效提升社会公众了解海关的时效性和透明度。根据“放管服”改革进程，及时编制公开《呼和浩特海关政务服务事项目录清单》《呼和浩特海关政务服务事项实施清单》和《呼和浩特海关政务服务事项办事指南》，进一步提升办事便利度。三是及时准确发布疫情相关信息。有效配合自治区联防联控机制，切实做好疫情防控常态化下海关疫情防控信息发布工作，依法做到及时、准确、公开、透明，让公众实时了解海关应对处置工作进展。全年发布疫情防控信息83条。融合各类信息发布渠道，有效运用新闻发布会、政府网站、政务新媒体和各类新闻媒体，全方位宣传解读海关疫情防控工作举措。引入第三方专业舆情监测服务，密切关注涉及疫情的海关舆情动态，快速反应、正面回应，以权威信息引导社会舆论。全年全网监测舆情105957篇，出具报告302期/次，全年未监测发现重大负面舆情信息。四是加强各级各类应急预案公开。严格落实《条例》关于主动公开突发公共事件应急预案的要求，对关区4大类145个预案进行全面梳理，并进行电子化改造。结合新冠肺炎疫情防控工作，有针对性地加强宣传培训，进一步增强关区干部职工、社会公众，特别是应急预案执行人员的风险防范意识和能力，切实发挥应急预案实际效用。对外公开应急预案3件。</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w:t>
      </w:r>
      <w:r>
        <w:rPr>
          <w:rFonts w:ascii="方正楷体_GBK" w:eastAsia="方正楷体_GBK" w:hint="eastAsia"/>
          <w:b w:val="0"/>
          <w:bCs w:val="0"/>
          <w:i w:val="0"/>
          <w:iCs w:val="0"/>
          <w:caps w:val="0"/>
          <w:smallCaps w:val="0"/>
          <w:strike w:val="0"/>
          <w:dstrike w:val="0"/>
          <w:vanish w:val="0"/>
          <w:color w:val="333333"/>
          <w:spacing w:val="0"/>
          <w:sz w:val="32"/>
          <w:szCs w:val="32"/>
          <w:u w:val="none"/>
        </w:rPr>
        <w:t>（五）围绕落实新修订的政府信息公开条例，加强制度执行。</w:t>
      </w:r>
      <w:r>
        <w:rPr>
          <w:rFonts w:ascii="方正仿宋_GBK" w:eastAsia="方正仿宋_GBK" w:hint="eastAsia"/>
          <w:b w:val="0"/>
          <w:bCs w:val="0"/>
          <w:i w:val="0"/>
          <w:iCs w:val="0"/>
          <w:caps w:val="0"/>
          <w:smallCaps w:val="0"/>
          <w:strike w:val="0"/>
          <w:dstrike w:val="0"/>
          <w:vanish w:val="0"/>
          <w:color w:val="333333"/>
          <w:spacing w:val="0"/>
          <w:sz w:val="32"/>
          <w:szCs w:val="32"/>
          <w:u w:val="none"/>
        </w:rPr>
        <w:t>一是各级办公室强化指导督办，深入推进政府信息主动公开。关区各部门单位进一步落实政府信息公开审查制度，将对外主动公开信息全部纳入内部政务系统审核操作，对公开内容表述、公开时机、公开方式等内容进行审查，避免“三安全一稳定”等失泄密问题发生。同时通过建立专人每日监测及时通报机制，召开专题通报会议等形式，有效督促各部门单位在严格实施政府信息公开审查的基础上，深入贯彻“公开是常态、不公开是例外”的政府信息公开原则。年内重点公开人大代表建议和政协委员提案办理结果2件，向地方政府单位提供贸易数据53表/次。二是狠抓执行程序，规范政府信息公开申请办理。针对关区依申请公开业务少，工作人员业务普遍不熟悉的情况，进一步强化人员培训，重点完善内部工作制度，并根据《海关总署政府信息公开申请办理答复文书模板》完成机关本级及隶属海关36类程序性和实体性答复文书编制，明确接收、登记、审核、办理、答复工作流程和办理时限，全面提升关区政府信息公开申请办理工作质量，依法保障公众合理信息需求。全年办理依申请公开海关政府信息申请7件，全部依法依规向诉求人答复并予以公开。三是对标总署门户网站建设标准，完成互联网门户网站网页风格设计、栏目功能设置的全面改版，优化手机适配使用功能，实现手机端无障碍浏览，12月2日新版互联网门户网站正式上线。制定《呼和浩特海关政务公开网站建设及政府信息发布整改方案》《呼和浩特海关门户网站栏目板块设定明细及信息发布责任清单》，修订《呼和浩特海关互联网门户网站管理办法》《呼和浩特海关管理网门户网管理办法》等制度，明确网站栏目维护责任部门和信息发布人员，规范网站检查指标、更新时限要求、栏目信息发布保密审查流程等。建立专人每日读网台账，聘用第三方专业团队为互联网门户网站提供日常技术支持、季度自查评估服务，及时发现问题，及时整改，保证内外网门户网站建设维护无死角，更新及时，线上线下政府信息发布同源无差异，不断提升网站建设水平。</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w:t>
      </w:r>
      <w:r>
        <w:rPr>
          <w:rFonts w:ascii="方正楷体_GBK" w:eastAsia="方正楷体_GBK" w:hint="eastAsia"/>
          <w:b w:val="0"/>
          <w:bCs w:val="0"/>
          <w:i w:val="0"/>
          <w:iCs w:val="0"/>
          <w:caps w:val="0"/>
          <w:smallCaps w:val="0"/>
          <w:strike w:val="0"/>
          <w:dstrike w:val="0"/>
          <w:vanish w:val="0"/>
          <w:color w:val="333333"/>
          <w:spacing w:val="0"/>
          <w:sz w:val="32"/>
          <w:szCs w:val="32"/>
          <w:u w:val="none"/>
        </w:rPr>
        <w:t>（六）狠抓海关政府信息管理工作。</w:t>
      </w:r>
      <w:r>
        <w:rPr>
          <w:rFonts w:ascii="方正仿宋_GBK" w:eastAsia="方正仿宋_GBK" w:hint="eastAsia"/>
          <w:b w:val="0"/>
          <w:bCs w:val="0"/>
          <w:i w:val="0"/>
          <w:iCs w:val="0"/>
          <w:caps w:val="0"/>
          <w:smallCaps w:val="0"/>
          <w:strike w:val="0"/>
          <w:dstrike w:val="0"/>
          <w:vanish w:val="0"/>
          <w:color w:val="333333"/>
          <w:spacing w:val="0"/>
          <w:sz w:val="32"/>
          <w:szCs w:val="32"/>
          <w:u w:val="none"/>
        </w:rPr>
        <w:t>重点系统梳理关区制发的规范性文件、制度等，按照“放管服”改革要求及时立改废，并动态更新。以门户网站政府信息公开专栏为依托，推动公开内容进一步聚焦重点领域信息，法定主动公开内容全部公开到位，并根据总署“政府信息公开目录”栏目调整情况，逐项对照，形成5个栏目、4个层级、9个展示板块61个子项的栏目体系，完成关区“政府信息公开目录”栏目调整工作，公开方式更加统一规范。全年公开各类政府信息521件。</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七）强化对外服务互动交流，引导预期效果明显。一是建立各级党委主要负责同志为落实海关重大政策“第一解读人”，相关职能部门负责同志为新闻信息发布具体解读人的工作机制，根据形势发展及时深入解读政策背景、落实措施及工作进展等，准确传递海关政策新规、疫情防控、职能调整、“放管服”营商环境优化等权威信息和政策意图。先后出席自治区政府新闻发布会5次，组织网上在线访谈3次，关区各部门和隶属海关组织关企座谈会47次、向23家企业提供海关政策法规等疑难问题信息解读；二是强化12360统一服务热线平台建设与服务。在加强12360热线工作人员培训管理的基础上，及时通过热线咨询、微信公众号平台提供政策新规、热点问题解读、业务指引、服务指南等信息服务。全年12360热线受理话务咨询5853个，热线接通率98.6%，抽查合格率96.8%，12360热线微信公众号发布稿件134篇，推送总署热线新媒体稿件18篇，被总署采用6篇，关级热线知识库编制收录业务咨询知识条目3480条，推送被总署采用12条；三是组织开展政务服务及执法满意度调查评估。通过线上和线下无记名填写调查问卷的形式，向企业和社会公众广泛征集意见和建议，发放收回《调查问卷》234份，调查评估结果显示，企业及社会公众对呼和浩特海关政务及执法满意度为96.1%。</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八）强化监督机制保障，确保政府信息公开依法有效落实。一是建立由总关督察内审部门和外部行风监督员组成的执法活动监督体系，定期进行评估，有效监督信息公开行为；二是有效落实关区各级值班干部读网、总关办公室专人监测和定期通报制度，对发现的问题及时进行整改。全年共制发监测通报8期，查发整改问题27个，并就存在的问题及时召开专题会议和业务培训会推进整改。先后召开会议3次，组织培训会1次；三是通过12360热线接受社会公众监督。2020年未发生政府信息公开失信和差错投诉问题。</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firstLine="479"/>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九）政务公开工作亮点。一是在门户网站开辟网上“业务咨询、关长信箱”等栏目，实现互联网与海关管理网自动导入导出业务工单办理功能，有效提升办事效率；二是创建“智慧政务公开”平台，将各类公开信息自动推送至关区各现场办事大厅，实现信息公开的集中推送、分类管理、层级负责，确保线上线下办事服务信息内容准确一致，方便社会公众办事。目前平台已正式上线运行。三是拓展政府信息公开形式。总关机关本级及隶属鄂尔多斯海关、集宁海关主动与地方政务管理部门及公开平台联系对接，指定专人实时解答企业及市民有关海关工作方面诉求和业务。</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firstLine="479"/>
        <w:rPr>
          <w:rFonts w:ascii="方正黑体_GBK" w:eastAsia="方正黑体_GBK" w:hint="eastAsia"/>
          <w:b w:val="0"/>
          <w:bCs w:val="0"/>
          <w:i w:val="0"/>
          <w:iCs w:val="0"/>
          <w:caps w:val="0"/>
          <w:smallCaps w:val="0"/>
          <w:strike w:val="0"/>
          <w:dstrike w:val="0"/>
          <w:vanish w:val="0"/>
          <w:color w:val="333333"/>
          <w:spacing w:val="0"/>
          <w:sz w:val="32"/>
          <w:szCs w:val="32"/>
          <w:u w:val="none"/>
        </w:rPr>
      </w:pPr>
      <w:r>
        <w:rPr>
          <w:rFonts w:ascii="方正黑体_GBK" w:eastAsia="方正黑体_GBK" w:hint="eastAsia"/>
          <w:b w:val="0"/>
          <w:bCs w:val="0"/>
          <w:i w:val="0"/>
          <w:iCs w:val="0"/>
          <w:caps w:val="0"/>
          <w:smallCaps w:val="0"/>
          <w:strike w:val="0"/>
          <w:dstrike w:val="0"/>
          <w:vanish w:val="0"/>
          <w:color w:val="333333"/>
          <w:spacing w:val="0"/>
          <w:sz w:val="32"/>
          <w:szCs w:val="32"/>
          <w:u w:val="none"/>
        </w:rPr>
        <w:t>二、主动公开政府信息情况</w:t>
      </w:r>
    </w:p>
    <w:tbl>
      <w:tblPr>
        <w:tblpPr w:leftFromText="180" w:rightFromText="180" w:vertAnchor="text" w:horzAnchor="page" w:tblpX="1926" w:tblpY="713"/>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0" w:type="dxa"/>
          <w:left w:w="0" w:type="dxa"/>
          <w:bottom w:w="0" w:type="dxa"/>
          <w:right w:w="0" w:type="dxa"/>
        </w:tblCellMar>
      </w:tblPr>
      <w:tblGrid>
        <w:gridCol w:w="2514"/>
        <w:gridCol w:w="2022"/>
        <w:gridCol w:w="1797"/>
        <w:gridCol w:w="1994"/>
      </w:tblGrid>
      <w:tr>
        <w:tc>
          <w:tcPr>
            <w:tcW w:w="8327"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vAlign w:val="center"/>
          </w:tcPr>
          <w:p>
            <w:pPr>
              <w:pStyle w:val="73"/>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第二十条第（一）项</w:t>
            </w:r>
          </w:p>
        </w:tc>
      </w:tr>
      <w:tr>
        <w:tc>
          <w:tcPr>
            <w:tcW w:w="2514" w:type="dxa"/>
            <w:tcBorders>
              <w:left w:val="single" w:sz="6" w:space="0" w:color="auto"/>
              <w:bottom w:val="single" w:sz="6" w:space="0" w:color="auto"/>
              <w:right w:val="single" w:sz="6" w:space="0" w:color="auto"/>
              <w:tl2br w:val="nil"/>
              <w:tr2bl w:val="nil"/>
            </w:tcBorders>
            <w:shd w:val="clear" w:color="auto" w:fill="auto"/>
            <w:vAlign w:val="center"/>
          </w:tcPr>
          <w:p>
            <w:pPr>
              <w:pStyle w:val="72"/>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信息内容</w:t>
            </w:r>
          </w:p>
        </w:tc>
        <w:tc>
          <w:tcPr>
            <w:tcW w:w="2022" w:type="dxa"/>
            <w:tcBorders>
              <w:top w:val="single" w:sz="6" w:space="0" w:color="auto"/>
              <w:bottom w:val="single" w:sz="6" w:space="0" w:color="auto"/>
              <w:right w:val="single" w:sz="6" w:space="0" w:color="auto"/>
              <w:tl2br w:val="nil"/>
              <w:tr2bl w:val="nil"/>
            </w:tcBorders>
            <w:shd w:val="clear" w:color="auto" w:fill="auto"/>
            <w:vAlign w:val="center"/>
          </w:tcPr>
          <w:p>
            <w:pPr>
              <w:pStyle w:val="71"/>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本年新制作数量</w:t>
            </w:r>
          </w:p>
        </w:tc>
        <w:tc>
          <w:tcPr>
            <w:tcW w:w="1797" w:type="dxa"/>
            <w:tcBorders>
              <w:top w:val="single" w:sz="6" w:space="0" w:color="auto"/>
              <w:bottom w:val="single" w:sz="6" w:space="0" w:color="auto"/>
              <w:right w:val="single" w:sz="6" w:space="0" w:color="auto"/>
              <w:tl2br w:val="nil"/>
              <w:tr2bl w:val="nil"/>
            </w:tcBorders>
            <w:shd w:val="clear" w:color="auto" w:fill="auto"/>
            <w:vAlign w:val="center"/>
          </w:tcPr>
          <w:p>
            <w:pPr>
              <w:pStyle w:val="70"/>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本年新公开数量</w:t>
            </w:r>
          </w:p>
        </w:tc>
        <w:tc>
          <w:tcPr>
            <w:tcW w:w="1994" w:type="dxa"/>
            <w:tcBorders>
              <w:bottom w:val="single" w:sz="6" w:space="0" w:color="auto"/>
              <w:right w:val="single" w:sz="6" w:space="0" w:color="auto"/>
              <w:tl2br w:val="nil"/>
              <w:tr2bl w:val="nil"/>
            </w:tcBorders>
            <w:shd w:val="clear" w:color="auto" w:fill="auto"/>
            <w:vAlign w:val="center"/>
          </w:tcPr>
          <w:p>
            <w:pPr>
              <w:pStyle w:val="69"/>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对外公开总数量</w:t>
            </w:r>
          </w:p>
        </w:tc>
      </w:tr>
      <w:tr>
        <w:tc>
          <w:tcPr>
            <w:tcW w:w="2514" w:type="dxa"/>
            <w:tcBorders>
              <w:left w:val="single" w:sz="6" w:space="0" w:color="auto"/>
              <w:bottom w:val="single" w:sz="6" w:space="0" w:color="auto"/>
              <w:right w:val="single" w:sz="6" w:space="0" w:color="auto"/>
              <w:tl2br w:val="nil"/>
              <w:tr2bl w:val="nil"/>
            </w:tcBorders>
            <w:shd w:val="clear" w:color="auto" w:fill="auto"/>
            <w:vAlign w:val="center"/>
          </w:tcPr>
          <w:p>
            <w:pPr>
              <w:pStyle w:val="68"/>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规章</w:t>
            </w:r>
          </w:p>
        </w:tc>
        <w:tc>
          <w:tcPr>
            <w:tcW w:w="2022" w:type="dxa"/>
            <w:tcBorders>
              <w:bottom w:val="single" w:sz="6" w:space="0" w:color="auto"/>
              <w:right w:val="single" w:sz="6" w:space="0" w:color="auto"/>
              <w:tl2br w:val="nil"/>
              <w:tr2bl w:val="nil"/>
            </w:tcBorders>
            <w:shd w:val="clear" w:color="auto" w:fill="auto"/>
            <w:vAlign w:val="center"/>
          </w:tcPr>
          <w:p>
            <w:pPr>
              <w:pStyle w:val="67"/>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0</w:t>
            </w:r>
          </w:p>
        </w:tc>
        <w:tc>
          <w:tcPr>
            <w:tcW w:w="1797" w:type="dxa"/>
            <w:tcBorders>
              <w:bottom w:val="single" w:sz="6" w:space="0" w:color="auto"/>
              <w:right w:val="single" w:sz="6" w:space="0" w:color="auto"/>
              <w:tl2br w:val="nil"/>
              <w:tr2bl w:val="nil"/>
            </w:tcBorders>
            <w:shd w:val="clear" w:color="auto" w:fill="auto"/>
            <w:vAlign w:val="center"/>
          </w:tcPr>
          <w:p>
            <w:pPr>
              <w:pStyle w:val="66"/>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0</w:t>
            </w:r>
          </w:p>
        </w:tc>
        <w:tc>
          <w:tcPr>
            <w:tcW w:w="1994" w:type="dxa"/>
            <w:tcBorders>
              <w:bottom w:val="single" w:sz="6" w:space="0" w:color="auto"/>
              <w:right w:val="single" w:sz="6" w:space="0" w:color="auto"/>
              <w:tl2br w:val="nil"/>
              <w:tr2bl w:val="nil"/>
            </w:tcBorders>
            <w:shd w:val="clear" w:color="auto" w:fill="auto"/>
            <w:vAlign w:val="center"/>
          </w:tcPr>
          <w:p>
            <w:pPr>
              <w:pStyle w:val="6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0</w:t>
            </w:r>
          </w:p>
        </w:tc>
      </w:tr>
      <w:tr>
        <w:tc>
          <w:tcPr>
            <w:tcW w:w="2514" w:type="dxa"/>
            <w:tcBorders>
              <w:left w:val="single" w:sz="6" w:space="0" w:color="auto"/>
              <w:bottom w:val="single" w:sz="6" w:space="0" w:color="auto"/>
              <w:right w:val="single" w:sz="6" w:space="0" w:color="auto"/>
              <w:tl2br w:val="nil"/>
              <w:tr2bl w:val="nil"/>
            </w:tcBorders>
            <w:shd w:val="clear" w:color="auto" w:fill="auto"/>
            <w:vAlign w:val="center"/>
          </w:tcPr>
          <w:p>
            <w:pPr>
              <w:pStyle w:val="64"/>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规范性文件</w:t>
            </w:r>
          </w:p>
        </w:tc>
        <w:tc>
          <w:tcPr>
            <w:tcW w:w="2022" w:type="dxa"/>
            <w:tcBorders>
              <w:bottom w:val="single" w:sz="6" w:space="0" w:color="auto"/>
              <w:right w:val="single" w:sz="6" w:space="0" w:color="auto"/>
              <w:tl2br w:val="nil"/>
              <w:tr2bl w:val="nil"/>
            </w:tcBorders>
            <w:shd w:val="clear" w:color="auto" w:fill="auto"/>
            <w:vAlign w:val="center"/>
          </w:tcPr>
          <w:p>
            <w:pPr>
              <w:pStyle w:val="63"/>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0</w:t>
            </w:r>
          </w:p>
        </w:tc>
        <w:tc>
          <w:tcPr>
            <w:tcW w:w="1797" w:type="dxa"/>
            <w:tcBorders>
              <w:bottom w:val="single" w:sz="6" w:space="0" w:color="auto"/>
              <w:right w:val="single" w:sz="6" w:space="0" w:color="auto"/>
              <w:tl2br w:val="nil"/>
              <w:tr2bl w:val="nil"/>
            </w:tcBorders>
            <w:shd w:val="clear" w:color="auto" w:fill="auto"/>
            <w:vAlign w:val="center"/>
          </w:tcPr>
          <w:p>
            <w:pPr>
              <w:pStyle w:val="62"/>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0</w:t>
            </w:r>
          </w:p>
        </w:tc>
        <w:tc>
          <w:tcPr>
            <w:tcW w:w="1994" w:type="dxa"/>
            <w:tcBorders>
              <w:bottom w:val="single" w:sz="6" w:space="0" w:color="auto"/>
              <w:right w:val="single" w:sz="6" w:space="0" w:color="auto"/>
              <w:tl2br w:val="nil"/>
              <w:tr2bl w:val="nil"/>
            </w:tcBorders>
            <w:shd w:val="clear" w:color="auto" w:fill="auto"/>
            <w:vAlign w:val="center"/>
          </w:tcPr>
          <w:p>
            <w:pPr>
              <w:pStyle w:val="61"/>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r>
              <w:rPr>
                <w:rFonts w:ascii="宋体" w:eastAsia="宋体"/>
                <w:b w:val="0"/>
                <w:bCs w:val="0"/>
                <w:i w:val="0"/>
                <w:iCs w:val="0"/>
                <w:caps w:val="0"/>
                <w:smallCaps w:val="0"/>
                <w:strike w:val="0"/>
                <w:dstrike w:val="0"/>
                <w:vanish w:val="0"/>
                <w:color w:val="333333"/>
                <w:spacing w:val="0"/>
                <w:sz w:val="24"/>
                <w:szCs w:val="24"/>
                <w:u w:val="none"/>
              </w:rPr>
              <w:t>1</w:t>
            </w:r>
          </w:p>
        </w:tc>
      </w:tr>
      <w:tr>
        <w:tc>
          <w:tcPr>
            <w:tcW w:w="8327"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vAlign w:val="center"/>
          </w:tcPr>
          <w:p>
            <w:pPr>
              <w:pStyle w:val="60"/>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第二十条第（五）项</w:t>
            </w:r>
          </w:p>
        </w:tc>
      </w:tr>
      <w:tr>
        <w:tc>
          <w:tcPr>
            <w:tcW w:w="2514" w:type="dxa"/>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pStyle w:val="59"/>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信息内容</w:t>
            </w:r>
          </w:p>
        </w:tc>
        <w:tc>
          <w:tcPr>
            <w:tcW w:w="2022" w:type="dxa"/>
            <w:tcBorders>
              <w:top w:val="single" w:sz="6" w:space="0" w:color="auto"/>
              <w:bottom w:val="single" w:sz="6" w:space="0" w:color="auto"/>
              <w:right w:val="single" w:sz="6" w:space="0" w:color="auto"/>
              <w:tl2br w:val="nil"/>
              <w:tr2bl w:val="nil"/>
            </w:tcBorders>
            <w:shd w:val="clear" w:color="auto" w:fill="auto"/>
            <w:vAlign w:val="center"/>
          </w:tcPr>
          <w:p>
            <w:pPr>
              <w:pStyle w:val="58"/>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本年项目数量</w:t>
            </w:r>
          </w:p>
        </w:tc>
        <w:tc>
          <w:tcPr>
            <w:tcW w:w="1797" w:type="dxa"/>
            <w:tcBorders>
              <w:top w:val="single" w:sz="6" w:space="0" w:color="auto"/>
              <w:bottom w:val="single" w:sz="6" w:space="0" w:color="auto"/>
              <w:right w:val="single" w:sz="6" w:space="0" w:color="auto"/>
              <w:tl2br w:val="nil"/>
              <w:tr2bl w:val="nil"/>
            </w:tcBorders>
            <w:shd w:val="clear" w:color="auto" w:fill="auto"/>
            <w:vAlign w:val="center"/>
          </w:tcPr>
          <w:p>
            <w:pPr>
              <w:pStyle w:val="57"/>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相比上年增/减</w:t>
            </w:r>
          </w:p>
        </w:tc>
        <w:tc>
          <w:tcPr>
            <w:tcW w:w="1994" w:type="dxa"/>
            <w:tcBorders>
              <w:top w:val="single" w:sz="6" w:space="0" w:color="auto"/>
              <w:bottom w:val="single" w:sz="6" w:space="0" w:color="auto"/>
              <w:right w:val="single" w:sz="6" w:space="0" w:color="auto"/>
              <w:tl2br w:val="nil"/>
              <w:tr2bl w:val="nil"/>
            </w:tcBorders>
            <w:shd w:val="clear" w:color="auto" w:fill="auto"/>
            <w:vAlign w:val="center"/>
          </w:tcPr>
          <w:p>
            <w:pPr>
              <w:pStyle w:val="56"/>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处理决定数量</w:t>
            </w:r>
          </w:p>
        </w:tc>
      </w:tr>
      <w:tr>
        <w:tc>
          <w:tcPr>
            <w:tcW w:w="2514" w:type="dxa"/>
            <w:tcBorders>
              <w:left w:val="single" w:sz="6" w:space="0" w:color="auto"/>
              <w:bottom w:val="single" w:sz="6" w:space="0" w:color="auto"/>
              <w:right w:val="single" w:sz="6" w:space="0" w:color="auto"/>
              <w:tl2br w:val="nil"/>
              <w:tr2bl w:val="nil"/>
            </w:tcBorders>
            <w:shd w:val="clear" w:color="auto" w:fill="auto"/>
            <w:vAlign w:val="center"/>
          </w:tcPr>
          <w:p>
            <w:pPr>
              <w:pStyle w:val="5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行政许可</w:t>
            </w:r>
          </w:p>
        </w:tc>
        <w:tc>
          <w:tcPr>
            <w:tcW w:w="2022" w:type="dxa"/>
            <w:tcBorders>
              <w:bottom w:val="single" w:sz="6" w:space="0" w:color="auto"/>
              <w:right w:val="single" w:sz="6" w:space="0" w:color="auto"/>
              <w:tl2br w:val="nil"/>
              <w:tr2bl w:val="nil"/>
            </w:tcBorders>
            <w:shd w:val="clear" w:color="auto" w:fill="auto"/>
            <w:vAlign w:val="center"/>
          </w:tcPr>
          <w:p>
            <w:pPr>
              <w:pStyle w:val="54"/>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r>
              <w:rPr>
                <w:rFonts w:ascii="宋体" w:eastAsia="宋体"/>
                <w:b w:val="0"/>
                <w:bCs w:val="0"/>
                <w:i w:val="0"/>
                <w:iCs w:val="0"/>
                <w:caps w:val="0"/>
                <w:smallCaps w:val="0"/>
                <w:strike w:val="0"/>
                <w:dstrike w:val="0"/>
                <w:vanish w:val="0"/>
                <w:color w:val="333333"/>
                <w:spacing w:val="0"/>
                <w:sz w:val="24"/>
                <w:szCs w:val="24"/>
                <w:u w:val="none"/>
              </w:rPr>
              <w:t>11</w:t>
            </w:r>
          </w:p>
        </w:tc>
        <w:tc>
          <w:tcPr>
            <w:tcW w:w="1797" w:type="dxa"/>
            <w:tcBorders>
              <w:bottom w:val="single" w:sz="6" w:space="0" w:color="auto"/>
              <w:right w:val="single" w:sz="6" w:space="0" w:color="auto"/>
              <w:tl2br w:val="nil"/>
              <w:tr2bl w:val="nil"/>
            </w:tcBorders>
            <w:shd w:val="clear" w:color="auto" w:fill="auto"/>
            <w:vAlign w:val="center"/>
          </w:tcPr>
          <w:p>
            <w:pPr>
              <w:pStyle w:val="53"/>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r>
              <w:rPr>
                <w:rFonts w:ascii="宋体" w:eastAsia="宋体"/>
                <w:b w:val="0"/>
                <w:bCs w:val="0"/>
                <w:i w:val="0"/>
                <w:iCs w:val="0"/>
                <w:caps w:val="0"/>
                <w:smallCaps w:val="0"/>
                <w:strike w:val="0"/>
                <w:dstrike w:val="0"/>
                <w:vanish w:val="0"/>
                <w:color w:val="333333"/>
                <w:spacing w:val="0"/>
                <w:sz w:val="24"/>
                <w:szCs w:val="24"/>
                <w:u w:val="none"/>
              </w:rPr>
              <w:t>0</w:t>
            </w:r>
          </w:p>
        </w:tc>
        <w:tc>
          <w:tcPr>
            <w:tcW w:w="1994" w:type="dxa"/>
            <w:tcBorders>
              <w:bottom w:val="single" w:sz="6" w:space="0" w:color="auto"/>
              <w:right w:val="single" w:sz="6" w:space="0" w:color="auto"/>
              <w:tl2br w:val="nil"/>
              <w:tr2bl w:val="nil"/>
            </w:tcBorders>
            <w:shd w:val="clear" w:color="auto" w:fill="auto"/>
            <w:vAlign w:val="center"/>
          </w:tcPr>
          <w:p>
            <w:pPr>
              <w:pStyle w:val="52"/>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r>
              <w:rPr>
                <w:rFonts w:ascii="宋体" w:eastAsia="宋体"/>
                <w:b w:val="0"/>
                <w:bCs w:val="0"/>
                <w:i w:val="0"/>
                <w:iCs w:val="0"/>
                <w:caps w:val="0"/>
                <w:smallCaps w:val="0"/>
                <w:strike w:val="0"/>
                <w:dstrike w:val="0"/>
                <w:vanish w:val="0"/>
                <w:color w:val="333333"/>
                <w:spacing w:val="0"/>
                <w:sz w:val="24"/>
                <w:szCs w:val="24"/>
                <w:u w:val="none"/>
              </w:rPr>
              <w:t>302</w:t>
            </w:r>
          </w:p>
        </w:tc>
      </w:tr>
      <w:tr>
        <w:tc>
          <w:tcPr>
            <w:tcW w:w="8327" w:type="dxa"/>
            <w:gridSpan w:val="4"/>
            <w:tcBorders>
              <w:left w:val="single" w:sz="6" w:space="0" w:color="auto"/>
              <w:bottom w:val="single" w:sz="6" w:space="0" w:color="auto"/>
              <w:right w:val="single" w:sz="6" w:space="0" w:color="auto"/>
              <w:tl2br w:val="nil"/>
              <w:tr2bl w:val="nil"/>
            </w:tcBorders>
            <w:shd w:val="clear" w:color="auto" w:fill="C6D9F1"/>
            <w:vAlign w:val="center"/>
          </w:tcPr>
          <w:p>
            <w:pPr>
              <w:pStyle w:val="51"/>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第二十条第（六）项</w:t>
            </w:r>
          </w:p>
        </w:tc>
      </w:tr>
      <w:tr>
        <w:tc>
          <w:tcPr>
            <w:tcW w:w="2514" w:type="dxa"/>
            <w:tcBorders>
              <w:left w:val="single" w:sz="6" w:space="0" w:color="auto"/>
              <w:bottom w:val="single" w:sz="6" w:space="0" w:color="auto"/>
              <w:right w:val="single" w:sz="6" w:space="0" w:color="auto"/>
              <w:tl2br w:val="nil"/>
              <w:tr2bl w:val="nil"/>
            </w:tcBorders>
            <w:shd w:val="clear" w:color="auto" w:fill="auto"/>
            <w:vAlign w:val="center"/>
          </w:tcPr>
          <w:p>
            <w:pPr>
              <w:pStyle w:val="50"/>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信息内容</w:t>
            </w:r>
          </w:p>
        </w:tc>
        <w:tc>
          <w:tcPr>
            <w:tcW w:w="2022" w:type="dxa"/>
            <w:tcBorders>
              <w:top w:val="single" w:sz="6" w:space="0" w:color="auto"/>
              <w:bottom w:val="single" w:sz="6" w:space="0" w:color="auto"/>
              <w:right w:val="single" w:sz="6" w:space="0" w:color="auto"/>
              <w:tl2br w:val="nil"/>
              <w:tr2bl w:val="nil"/>
            </w:tcBorders>
            <w:shd w:val="clear" w:color="auto" w:fill="auto"/>
            <w:vAlign w:val="center"/>
          </w:tcPr>
          <w:p>
            <w:pPr>
              <w:pStyle w:val="49"/>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本年项目数量</w:t>
            </w:r>
          </w:p>
        </w:tc>
        <w:tc>
          <w:tcPr>
            <w:tcW w:w="1797" w:type="dxa"/>
            <w:tcBorders>
              <w:top w:val="single" w:sz="6" w:space="0" w:color="auto"/>
              <w:bottom w:val="single" w:sz="6" w:space="0" w:color="auto"/>
              <w:right w:val="single" w:sz="6" w:space="0" w:color="auto"/>
              <w:tl2br w:val="nil"/>
              <w:tr2bl w:val="nil"/>
            </w:tcBorders>
            <w:shd w:val="clear" w:color="auto" w:fill="auto"/>
            <w:vAlign w:val="center"/>
          </w:tcPr>
          <w:p>
            <w:pPr>
              <w:pStyle w:val="48"/>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相比上年增/减</w:t>
            </w:r>
          </w:p>
        </w:tc>
        <w:tc>
          <w:tcPr>
            <w:tcW w:w="1994" w:type="dxa"/>
            <w:tcBorders>
              <w:bottom w:val="single" w:sz="6" w:space="0" w:color="auto"/>
              <w:right w:val="single" w:sz="6" w:space="0" w:color="auto"/>
              <w:tl2br w:val="nil"/>
              <w:tr2bl w:val="nil"/>
            </w:tcBorders>
            <w:shd w:val="clear" w:color="auto" w:fill="auto"/>
            <w:vAlign w:val="center"/>
          </w:tcPr>
          <w:p>
            <w:pPr>
              <w:pStyle w:val="47"/>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处理决定数量</w:t>
            </w:r>
          </w:p>
        </w:tc>
      </w:tr>
      <w:tr>
        <w:tc>
          <w:tcPr>
            <w:tcW w:w="2514" w:type="dxa"/>
            <w:tcBorders>
              <w:left w:val="single" w:sz="6" w:space="0" w:color="auto"/>
              <w:bottom w:val="single" w:sz="6" w:space="0" w:color="auto"/>
              <w:right w:val="single" w:sz="6" w:space="0" w:color="auto"/>
              <w:tl2br w:val="nil"/>
              <w:tr2bl w:val="nil"/>
            </w:tcBorders>
            <w:shd w:val="clear" w:color="auto" w:fill="auto"/>
            <w:vAlign w:val="center"/>
          </w:tcPr>
          <w:p>
            <w:pPr>
              <w:pStyle w:val="46"/>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行政处罚</w:t>
            </w:r>
          </w:p>
        </w:tc>
        <w:tc>
          <w:tcPr>
            <w:tcW w:w="2022" w:type="dxa"/>
            <w:tcBorders>
              <w:bottom w:val="single" w:sz="6" w:space="0" w:color="auto"/>
              <w:right w:val="single" w:sz="6" w:space="0" w:color="auto"/>
              <w:tl2br w:val="nil"/>
              <w:tr2bl w:val="nil"/>
            </w:tcBorders>
            <w:shd w:val="clear" w:color="auto" w:fill="auto"/>
            <w:vAlign w:val="center"/>
          </w:tcPr>
          <w:p>
            <w:pPr>
              <w:pStyle w:val="4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7</w:t>
            </w:r>
          </w:p>
        </w:tc>
        <w:tc>
          <w:tcPr>
            <w:tcW w:w="1797" w:type="dxa"/>
            <w:tcBorders>
              <w:bottom w:val="single" w:sz="6" w:space="0" w:color="auto"/>
              <w:right w:val="single" w:sz="6" w:space="0" w:color="auto"/>
              <w:tl2br w:val="nil"/>
              <w:tr2bl w:val="nil"/>
            </w:tcBorders>
            <w:shd w:val="clear" w:color="auto" w:fill="auto"/>
            <w:vAlign w:val="center"/>
          </w:tcPr>
          <w:p>
            <w:pPr>
              <w:pStyle w:val="44"/>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+1</w:t>
            </w:r>
          </w:p>
        </w:tc>
        <w:tc>
          <w:tcPr>
            <w:tcW w:w="1994" w:type="dxa"/>
            <w:tcBorders>
              <w:bottom w:val="single" w:sz="6" w:space="0" w:color="auto"/>
              <w:right w:val="single" w:sz="6" w:space="0" w:color="auto"/>
              <w:tl2br w:val="nil"/>
              <w:tr2bl w:val="nil"/>
            </w:tcBorders>
            <w:shd w:val="clear" w:color="auto" w:fill="auto"/>
            <w:vAlign w:val="center"/>
          </w:tcPr>
          <w:p>
            <w:pPr>
              <w:pStyle w:val="43"/>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r>
              <w:rPr>
                <w:rFonts w:ascii="宋体" w:eastAsia="宋体"/>
                <w:b w:val="0"/>
                <w:bCs w:val="0"/>
                <w:i w:val="0"/>
                <w:iCs w:val="0"/>
                <w:caps w:val="0"/>
                <w:smallCaps w:val="0"/>
                <w:strike w:val="0"/>
                <w:dstrike w:val="0"/>
                <w:vanish w:val="0"/>
                <w:color w:val="333333"/>
                <w:spacing w:val="0"/>
                <w:sz w:val="24"/>
                <w:szCs w:val="24"/>
                <w:u w:val="none"/>
              </w:rPr>
              <w:t>100</w:t>
            </w:r>
          </w:p>
        </w:tc>
      </w:tr>
      <w:tr>
        <w:tc>
          <w:tcPr>
            <w:tcW w:w="2514" w:type="dxa"/>
            <w:tcBorders>
              <w:left w:val="single" w:sz="6" w:space="0" w:color="auto"/>
              <w:bottom w:val="single" w:sz="6" w:space="0" w:color="auto"/>
              <w:right w:val="single" w:sz="6" w:space="0" w:color="auto"/>
              <w:tl2br w:val="nil"/>
              <w:tr2bl w:val="nil"/>
            </w:tcBorders>
            <w:shd w:val="clear" w:color="auto" w:fill="auto"/>
            <w:vAlign w:val="center"/>
          </w:tcPr>
          <w:p>
            <w:pPr>
              <w:pStyle w:val="42"/>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行政强制</w:t>
            </w:r>
          </w:p>
        </w:tc>
        <w:tc>
          <w:tcPr>
            <w:tcW w:w="2022" w:type="dxa"/>
            <w:tcBorders>
              <w:bottom w:val="single" w:sz="6" w:space="0" w:color="auto"/>
              <w:right w:val="single" w:sz="6" w:space="0" w:color="auto"/>
              <w:tl2br w:val="nil"/>
              <w:tr2bl w:val="nil"/>
            </w:tcBorders>
            <w:shd w:val="clear" w:color="auto" w:fill="auto"/>
            <w:vAlign w:val="center"/>
          </w:tcPr>
          <w:p>
            <w:pPr>
              <w:pStyle w:val="41"/>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12</w:t>
            </w:r>
          </w:p>
        </w:tc>
        <w:tc>
          <w:tcPr>
            <w:tcW w:w="1797" w:type="dxa"/>
            <w:tcBorders>
              <w:bottom w:val="single" w:sz="6" w:space="0" w:color="auto"/>
              <w:right w:val="single" w:sz="6" w:space="0" w:color="auto"/>
              <w:tl2br w:val="nil"/>
              <w:tr2bl w:val="nil"/>
            </w:tcBorders>
            <w:shd w:val="clear" w:color="auto" w:fill="auto"/>
            <w:vAlign w:val="center"/>
          </w:tcPr>
          <w:p>
            <w:pPr>
              <w:pStyle w:val="40"/>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0</w:t>
            </w:r>
          </w:p>
        </w:tc>
        <w:tc>
          <w:tcPr>
            <w:tcW w:w="1994" w:type="dxa"/>
            <w:tcBorders>
              <w:bottom w:val="single" w:sz="6" w:space="0" w:color="auto"/>
              <w:right w:val="single" w:sz="6" w:space="0" w:color="auto"/>
              <w:tl2br w:val="nil"/>
              <w:tr2bl w:val="nil"/>
            </w:tcBorders>
            <w:shd w:val="clear" w:color="auto" w:fill="auto"/>
            <w:vAlign w:val="center"/>
          </w:tcPr>
          <w:p>
            <w:pPr>
              <w:pStyle w:val="39"/>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r>
              <w:rPr>
                <w:rFonts w:ascii="宋体" w:eastAsia="宋体"/>
                <w:b w:val="0"/>
                <w:bCs w:val="0"/>
                <w:i w:val="0"/>
                <w:iCs w:val="0"/>
                <w:caps w:val="0"/>
                <w:smallCaps w:val="0"/>
                <w:strike w:val="0"/>
                <w:dstrike w:val="0"/>
                <w:vanish w:val="0"/>
                <w:color w:val="333333"/>
                <w:spacing w:val="0"/>
                <w:sz w:val="24"/>
                <w:szCs w:val="24"/>
                <w:u w:val="none"/>
              </w:rPr>
              <w:t>2026</w:t>
            </w:r>
          </w:p>
        </w:tc>
      </w:tr>
      <w:tr>
        <w:tc>
          <w:tcPr>
            <w:tcW w:w="8327" w:type="dxa"/>
            <w:gridSpan w:val="4"/>
            <w:tcBorders>
              <w:left w:val="single" w:sz="6" w:space="0" w:color="auto"/>
              <w:bottom w:val="single" w:sz="6" w:space="0" w:color="auto"/>
              <w:right w:val="single" w:sz="6" w:space="0" w:color="auto"/>
              <w:tl2br w:val="nil"/>
              <w:tr2bl w:val="nil"/>
            </w:tcBorders>
            <w:shd w:val="clear" w:color="auto" w:fill="C6D9F1"/>
            <w:vAlign w:val="center"/>
          </w:tcPr>
          <w:p>
            <w:pPr>
              <w:pStyle w:val="38"/>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第二十条第（八）项</w:t>
            </w:r>
          </w:p>
        </w:tc>
      </w:tr>
      <w:tr>
        <w:tc>
          <w:tcPr>
            <w:tcW w:w="2514" w:type="dxa"/>
            <w:tcBorders>
              <w:left w:val="single" w:sz="6" w:space="0" w:color="auto"/>
              <w:bottom w:val="single" w:sz="6" w:space="0" w:color="auto"/>
              <w:right w:val="single" w:sz="6" w:space="0" w:color="auto"/>
              <w:tl2br w:val="nil"/>
              <w:tr2bl w:val="nil"/>
            </w:tcBorders>
            <w:shd w:val="clear" w:color="auto" w:fill="auto"/>
            <w:vAlign w:val="center"/>
          </w:tcPr>
          <w:p>
            <w:pPr>
              <w:pStyle w:val="37"/>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信息内容</w:t>
            </w:r>
          </w:p>
        </w:tc>
        <w:tc>
          <w:tcPr>
            <w:tcW w:w="2022" w:type="dxa"/>
            <w:tcBorders>
              <w:bottom w:val="single" w:sz="6" w:space="0" w:color="auto"/>
              <w:right w:val="single" w:sz="6" w:space="0" w:color="auto"/>
              <w:tl2br w:val="nil"/>
              <w:tr2bl w:val="nil"/>
            </w:tcBorders>
            <w:shd w:val="clear" w:color="auto" w:fill="auto"/>
            <w:vAlign w:val="center"/>
          </w:tcPr>
          <w:p>
            <w:pPr>
              <w:pStyle w:val="36"/>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本年项目数量</w:t>
            </w:r>
          </w:p>
        </w:tc>
        <w:tc>
          <w:tcPr>
            <w:tcW w:w="3791" w:type="dxa"/>
            <w:gridSpan w:val="2"/>
            <w:tcBorders>
              <w:top w:val="single" w:sz="6" w:space="0" w:color="auto"/>
              <w:bottom w:val="single" w:sz="6" w:space="0" w:color="auto"/>
              <w:right w:val="single" w:sz="6" w:space="0" w:color="000000"/>
              <w:tl2br w:val="nil"/>
              <w:tr2bl w:val="nil"/>
            </w:tcBorders>
            <w:shd w:val="clear" w:color="auto" w:fill="auto"/>
            <w:vAlign w:val="center"/>
          </w:tcPr>
          <w:p>
            <w:pPr>
              <w:pStyle w:val="3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相比上年增/减</w:t>
            </w:r>
          </w:p>
        </w:tc>
      </w:tr>
      <w:tr>
        <w:tc>
          <w:tcPr>
            <w:tcW w:w="2514" w:type="dxa"/>
            <w:tcBorders>
              <w:left w:val="single" w:sz="6" w:space="0" w:color="auto"/>
              <w:bottom w:val="single" w:sz="6" w:space="0" w:color="auto"/>
              <w:right w:val="single" w:sz="6" w:space="0" w:color="auto"/>
              <w:tl2br w:val="nil"/>
              <w:tr2bl w:val="nil"/>
            </w:tcBorders>
            <w:shd w:val="clear" w:color="auto" w:fill="auto"/>
            <w:vAlign w:val="center"/>
          </w:tcPr>
          <w:p>
            <w:pPr>
              <w:pStyle w:val="34"/>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行政事业性收费</w:t>
            </w:r>
          </w:p>
        </w:tc>
        <w:tc>
          <w:tcPr>
            <w:tcW w:w="2022" w:type="dxa"/>
            <w:tcBorders>
              <w:bottom w:val="single" w:sz="6" w:space="0" w:color="auto"/>
              <w:right w:val="single" w:sz="6" w:space="0" w:color="auto"/>
              <w:tl2br w:val="nil"/>
              <w:tr2bl w:val="nil"/>
            </w:tcBorders>
            <w:shd w:val="clear" w:color="auto" w:fill="auto"/>
            <w:vAlign w:val="center"/>
          </w:tcPr>
          <w:p>
            <w:pPr>
              <w:pStyle w:val="33"/>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0</w:t>
            </w:r>
          </w:p>
        </w:tc>
        <w:tc>
          <w:tcPr>
            <w:tcW w:w="3791" w:type="dxa"/>
            <w:gridSpan w:val="2"/>
            <w:tcBorders>
              <w:bottom w:val="single" w:sz="6" w:space="0" w:color="auto"/>
              <w:right w:val="single" w:sz="6" w:space="0" w:color="000000"/>
              <w:tl2br w:val="nil"/>
              <w:tr2bl w:val="nil"/>
            </w:tcBorders>
            <w:shd w:val="clear" w:color="auto" w:fill="auto"/>
            <w:vAlign w:val="center"/>
          </w:tcPr>
          <w:p>
            <w:pPr>
              <w:pStyle w:val="32"/>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0</w:t>
            </w:r>
          </w:p>
        </w:tc>
      </w:tr>
      <w:tr>
        <w:tc>
          <w:tcPr>
            <w:tcW w:w="8327" w:type="dxa"/>
            <w:gridSpan w:val="4"/>
            <w:tcBorders>
              <w:left w:val="single" w:sz="6" w:space="0" w:color="auto"/>
              <w:bottom w:val="single" w:sz="6" w:space="0" w:color="auto"/>
              <w:right w:val="single" w:sz="6" w:space="0" w:color="auto"/>
              <w:tl2br w:val="nil"/>
              <w:tr2bl w:val="nil"/>
            </w:tcBorders>
            <w:shd w:val="clear" w:color="auto" w:fill="C6D9F1"/>
            <w:vAlign w:val="center"/>
          </w:tcPr>
          <w:p>
            <w:pPr>
              <w:pStyle w:val="31"/>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第二十条第（九）项</w:t>
            </w:r>
          </w:p>
        </w:tc>
      </w:tr>
      <w:tr>
        <w:tc>
          <w:tcPr>
            <w:tcW w:w="2514" w:type="dxa"/>
            <w:tcBorders>
              <w:left w:val="single" w:sz="6" w:space="0" w:color="auto"/>
              <w:bottom w:val="single" w:sz="6" w:space="0" w:color="auto"/>
              <w:right w:val="single" w:sz="6" w:space="0" w:color="auto"/>
              <w:tl2br w:val="nil"/>
              <w:tr2bl w:val="nil"/>
            </w:tcBorders>
            <w:shd w:val="clear" w:color="auto" w:fill="auto"/>
            <w:vAlign w:val="center"/>
          </w:tcPr>
          <w:p>
            <w:pPr>
              <w:pStyle w:val="30"/>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信息内容</w:t>
            </w:r>
          </w:p>
        </w:tc>
        <w:tc>
          <w:tcPr>
            <w:tcW w:w="2022" w:type="dxa"/>
            <w:tcBorders>
              <w:bottom w:val="single" w:sz="6" w:space="0" w:color="auto"/>
              <w:right w:val="single" w:sz="6" w:space="0" w:color="auto"/>
              <w:tl2br w:val="nil"/>
              <w:tr2bl w:val="nil"/>
            </w:tcBorders>
            <w:shd w:val="clear" w:color="auto" w:fill="auto"/>
            <w:vAlign w:val="center"/>
          </w:tcPr>
          <w:p>
            <w:pPr>
              <w:pStyle w:val="29"/>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采购项目数量</w:t>
            </w:r>
          </w:p>
        </w:tc>
        <w:tc>
          <w:tcPr>
            <w:tcW w:w="3791" w:type="dxa"/>
            <w:gridSpan w:val="2"/>
            <w:tcBorders>
              <w:top w:val="single" w:sz="6" w:space="0" w:color="auto"/>
              <w:bottom w:val="single" w:sz="6" w:space="0" w:color="auto"/>
              <w:right w:val="single" w:sz="6" w:space="0" w:color="000000"/>
              <w:tl2br w:val="nil"/>
              <w:tr2bl w:val="nil"/>
            </w:tcBorders>
            <w:shd w:val="clear" w:color="auto" w:fill="auto"/>
            <w:vAlign w:val="center"/>
          </w:tcPr>
          <w:p>
            <w:pPr>
              <w:pStyle w:val="28"/>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采购总金额（万元）</w:t>
            </w:r>
          </w:p>
        </w:tc>
      </w:tr>
      <w:tr>
        <w:tc>
          <w:tcPr>
            <w:tcW w:w="2514" w:type="dxa"/>
            <w:tcBorders>
              <w:left w:val="single" w:sz="6" w:space="0" w:color="auto"/>
              <w:bottom w:val="single" w:sz="6" w:space="0" w:color="auto"/>
              <w:right w:val="single" w:sz="6" w:space="0" w:color="auto"/>
              <w:tl2br w:val="nil"/>
              <w:tr2bl w:val="nil"/>
            </w:tcBorders>
            <w:shd w:val="clear" w:color="auto" w:fill="auto"/>
            <w:vAlign w:val="center"/>
          </w:tcPr>
          <w:p>
            <w:pPr>
              <w:pStyle w:val="27"/>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政府集中采购</w:t>
            </w:r>
          </w:p>
        </w:tc>
        <w:tc>
          <w:tcPr>
            <w:tcW w:w="2022" w:type="dxa"/>
            <w:tcBorders>
              <w:bottom w:val="single" w:sz="6" w:space="0" w:color="auto"/>
              <w:right w:val="single" w:sz="6" w:space="0" w:color="auto"/>
              <w:tl2br w:val="nil"/>
              <w:tr2bl w:val="nil"/>
            </w:tcBorders>
            <w:shd w:val="clear" w:color="auto" w:fill="auto"/>
            <w:vAlign w:val="center"/>
          </w:tcPr>
          <w:p>
            <w:pPr>
              <w:pStyle w:val="26"/>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28</w:t>
            </w:r>
          </w:p>
        </w:tc>
        <w:tc>
          <w:tcPr>
            <w:tcW w:w="3791" w:type="dxa"/>
            <w:gridSpan w:val="2"/>
            <w:tcBorders>
              <w:bottom w:val="single" w:sz="6" w:space="0" w:color="auto"/>
              <w:right w:val="single" w:sz="6" w:space="0" w:color="000000"/>
              <w:tl2br w:val="nil"/>
              <w:tr2bl w:val="nil"/>
            </w:tcBorders>
            <w:shd w:val="clear" w:color="auto" w:fill="auto"/>
            <w:vAlign w:val="center"/>
          </w:tcPr>
          <w:p>
            <w:pPr>
              <w:pStyle w:val="2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4013.7205</w:t>
            </w:r>
          </w:p>
        </w:tc>
      </w:tr>
      <w:tr>
        <w:tc>
          <w:tcPr>
            <w:tcW w:w="2514" w:type="dxa"/>
            <w:tcBorders>
              <w:top w:val="nil"/>
              <w:left w:val="nil"/>
              <w:bottom w:val="nil"/>
              <w:right w:val="nil"/>
              <w:tl2br w:val="nil"/>
              <w:tr2bl w:val="nil"/>
            </w:tcBorders>
            <w:shd w:val="clear" w:color="auto" w:fill="auto"/>
            <w:vAlign w:val="center"/>
          </w:tcPr>
          <w:p>
            <w:pPr>
              <w:pStyle w:val="24"/>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2022" w:type="dxa"/>
            <w:tcBorders>
              <w:top w:val="nil"/>
              <w:left w:val="nil"/>
              <w:bottom w:val="nil"/>
              <w:right w:val="nil"/>
              <w:tl2br w:val="nil"/>
              <w:tr2bl w:val="nil"/>
            </w:tcBorders>
            <w:shd w:val="clear" w:color="auto" w:fill="auto"/>
            <w:vAlign w:val="center"/>
          </w:tcPr>
          <w:p>
            <w:pPr>
              <w:pStyle w:val="23"/>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1797" w:type="dxa"/>
            <w:tcBorders>
              <w:top w:val="nil"/>
              <w:left w:val="nil"/>
              <w:bottom w:val="nil"/>
              <w:right w:val="nil"/>
              <w:tl2br w:val="nil"/>
              <w:tr2bl w:val="nil"/>
            </w:tcBorders>
            <w:shd w:val="clear" w:color="auto" w:fill="auto"/>
            <w:vAlign w:val="center"/>
          </w:tcPr>
          <w:p>
            <w:pPr>
              <w:pStyle w:val="22"/>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1994" w:type="dxa"/>
            <w:tcBorders>
              <w:top w:val="nil"/>
              <w:left w:val="nil"/>
              <w:bottom w:val="nil"/>
              <w:right w:val="nil"/>
              <w:tl2br w:val="nil"/>
              <w:tr2bl w:val="nil"/>
            </w:tcBorders>
            <w:shd w:val="clear" w:color="auto" w:fill="auto"/>
            <w:vAlign w:val="center"/>
          </w:tcPr>
          <w:p>
            <w:pPr>
              <w:pStyle w:val="21"/>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r>
    </w:tbl>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hint="eastAsia"/>
          <w:b w:val="0"/>
          <w:bCs w:val="0"/>
          <w:i w:val="0"/>
          <w:iCs w:val="0"/>
          <w:caps w:val="0"/>
          <w:smallCaps w:val="0"/>
          <w:strike w:val="0"/>
          <w:dstrike w:val="0"/>
          <w:vanish w:val="0"/>
          <w:color w:val="333333"/>
          <w:spacing w:val="0"/>
          <w:sz w:val="32"/>
          <w:szCs w:val="32"/>
          <w:u w:val="none"/>
        </w:rPr>
      </w:pPr>
      <w:r>
        <w:rPr>
          <w:rFonts w:ascii="宋体" w:eastAsia="宋体" w:hint="eastAsia"/>
          <w:b w:val="0"/>
          <w:bCs w:val="0"/>
          <w:i w:val="0"/>
          <w:iCs w:val="0"/>
          <w:caps w:val="0"/>
          <w:smallCaps w:val="0"/>
          <w:strike w:val="0"/>
          <w:dstrike w:val="0"/>
          <w:vanish w:val="0"/>
          <w:color w:val="333333"/>
          <w:spacing w:val="0"/>
          <w:sz w:val="24"/>
          <w:szCs w:val="24"/>
          <w:u w:val="none"/>
        </w:rPr>
        <w:t>　　　　</w:t>
      </w:r>
      <w:r>
        <w:rPr>
          <w:rFonts w:ascii="方正黑体_GBK" w:eastAsia="方正黑体_GBK" w:hint="eastAsia"/>
          <w:b w:val="0"/>
          <w:bCs w:val="0"/>
          <w:i w:val="0"/>
          <w:iCs w:val="0"/>
          <w:caps w:val="0"/>
          <w:smallCaps w:val="0"/>
          <w:strike w:val="0"/>
          <w:dstrike w:val="0"/>
          <w:vanish w:val="0"/>
          <w:color w:val="333333"/>
          <w:spacing w:val="0"/>
          <w:sz w:val="32"/>
          <w:szCs w:val="32"/>
          <w:u w:val="none"/>
        </w:rPr>
        <w:t>三、收到和处理政府信息公开申请情况</w:t>
      </w:r>
    </w:p>
    <w:tbl>
      <w:tblPr>
        <w:jc w:val="center"/>
        <w:tblW w:w="9075"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0" w:type="dxa"/>
          <w:left w:w="0" w:type="dxa"/>
          <w:bottom w:w="0" w:type="dxa"/>
          <w:right w:w="0" w:type="dxa"/>
        </w:tblCellMar>
      </w:tblPr>
      <w:tblGrid>
        <w:gridCol w:w="690"/>
        <w:gridCol w:w="930"/>
        <w:gridCol w:w="2685"/>
        <w:gridCol w:w="630"/>
        <w:gridCol w:w="675"/>
        <w:gridCol w:w="750"/>
        <w:gridCol w:w="765"/>
        <w:gridCol w:w="765"/>
        <w:gridCol w:w="495"/>
        <w:gridCol w:w="690"/>
      </w:tblGrid>
      <w:tr>
        <w:trPr>
          <w:tblHeader/>
        </w:trPr>
        <w:tc>
          <w:tcPr>
            <w:tcW w:w="4305"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bCs w:val="0"/>
                <w:i w:val="0"/>
                <w:iCs w:val="0"/>
                <w:caps w:val="0"/>
                <w:smallCaps w:val="0"/>
                <w:strike w:val="0"/>
                <w:dstrike w:val="0"/>
                <w:vanish w:val="0"/>
                <w:color w:val="333333"/>
                <w:spacing w:val="0"/>
                <w:sz w:val="24"/>
                <w:szCs w:val="24"/>
                <w:u w:val="none"/>
              </w:rPr>
            </w:pPr>
            <w:r>
              <w:rPr>
                <w:rFonts w:ascii="宋体" w:eastAsia="宋体" w:hint="eastAsia"/>
                <w:b/>
                <w:bCs w:val="0"/>
                <w:i w:val="0"/>
                <w:iCs w:val="0"/>
                <w:caps w:val="0"/>
                <w:smallCaps w:val="0"/>
                <w:strike w:val="0"/>
                <w:dstrike w:val="0"/>
                <w:vanish w:val="0"/>
                <w:color w:val="333333"/>
                <w:spacing w:val="0"/>
                <w:sz w:val="24"/>
                <w:szCs w:val="24"/>
                <w:u w:val="none"/>
              </w:rPr>
              <w:t>　　（本列数据的勾稽关系为：第一项加第二项之和，等于第三项加第四项之和）</w:t>
            </w:r>
          </w:p>
        </w:tc>
        <w:tc>
          <w:tcPr>
            <w:tcW w:w="4770" w:type="dxa"/>
            <w:gridSpan w:val="7"/>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bCs w:val="0"/>
                <w:i w:val="0"/>
                <w:iCs w:val="0"/>
                <w:caps w:val="0"/>
                <w:smallCaps w:val="0"/>
                <w:strike w:val="0"/>
                <w:dstrike w:val="0"/>
                <w:vanish w:val="0"/>
                <w:color w:val="333333"/>
                <w:spacing w:val="0"/>
                <w:sz w:val="24"/>
                <w:szCs w:val="24"/>
                <w:u w:val="none"/>
              </w:rPr>
            </w:pPr>
            <w:r>
              <w:rPr>
                <w:rFonts w:ascii="宋体" w:eastAsia="宋体" w:hint="eastAsia"/>
                <w:b/>
                <w:bCs w:val="0"/>
                <w:i w:val="0"/>
                <w:iCs w:val="0"/>
                <w:caps w:val="0"/>
                <w:smallCaps w:val="0"/>
                <w:strike w:val="0"/>
                <w:dstrike w:val="0"/>
                <w:vanish w:val="0"/>
                <w:color w:val="333333"/>
                <w:spacing w:val="0"/>
                <w:sz w:val="24"/>
                <w:szCs w:val="24"/>
                <w:u w:val="none"/>
              </w:rPr>
              <w:t>　　申请人情况</w:t>
            </w:r>
          </w:p>
        </w:tc>
      </w:tr>
      <w:tr>
        <w:trPr>
          <w:tblHeader/>
        </w:trPr>
        <w:tc>
          <w:tcPr>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tc>
        <w:tc>
          <w:tcPr>
            <w:tcW w:w="630" w:type="dxa"/>
            <w:vMerge w:val="restart"/>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bCs w:val="0"/>
                <w:i w:val="0"/>
                <w:iCs w:val="0"/>
                <w:caps w:val="0"/>
                <w:smallCaps w:val="0"/>
                <w:strike w:val="0"/>
                <w:dstrike w:val="0"/>
                <w:vanish w:val="0"/>
                <w:color w:val="333333"/>
                <w:spacing w:val="0"/>
                <w:sz w:val="24"/>
                <w:szCs w:val="24"/>
                <w:u w:val="none"/>
              </w:rPr>
            </w:pPr>
            <w:r>
              <w:rPr>
                <w:rFonts w:ascii="宋体" w:eastAsia="宋体" w:hint="eastAsia"/>
                <w:b/>
                <w:bCs w:val="0"/>
                <w:i w:val="0"/>
                <w:iCs w:val="0"/>
                <w:caps w:val="0"/>
                <w:smallCaps w:val="0"/>
                <w:strike w:val="0"/>
                <w:dstrike w:val="0"/>
                <w:vanish w:val="0"/>
                <w:color w:val="333333"/>
                <w:spacing w:val="0"/>
                <w:sz w:val="24"/>
                <w:szCs w:val="24"/>
                <w:u w:val="none"/>
              </w:rPr>
              <w:t>　　自然人</w:t>
            </w:r>
          </w:p>
        </w:tc>
        <w:tc>
          <w:tcPr>
            <w:tcW w:w="3450" w:type="dxa"/>
            <w:gridSpan w:val="5"/>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bCs w:val="0"/>
                <w:i w:val="0"/>
                <w:iCs w:val="0"/>
                <w:caps w:val="0"/>
                <w:smallCaps w:val="0"/>
                <w:strike w:val="0"/>
                <w:dstrike w:val="0"/>
                <w:vanish w:val="0"/>
                <w:color w:val="333333"/>
                <w:spacing w:val="0"/>
                <w:sz w:val="24"/>
                <w:szCs w:val="24"/>
                <w:u w:val="none"/>
              </w:rPr>
            </w:pPr>
            <w:r>
              <w:rPr>
                <w:rFonts w:ascii="宋体" w:eastAsia="宋体" w:hint="eastAsia"/>
                <w:b/>
                <w:bCs w:val="0"/>
                <w:i w:val="0"/>
                <w:iCs w:val="0"/>
                <w:caps w:val="0"/>
                <w:smallCaps w:val="0"/>
                <w:strike w:val="0"/>
                <w:dstrike w:val="0"/>
                <w:vanish w:val="0"/>
                <w:color w:val="333333"/>
                <w:spacing w:val="0"/>
                <w:sz w:val="24"/>
                <w:szCs w:val="24"/>
                <w:u w:val="none"/>
              </w:rPr>
              <w:t>　　法人或其他组织</w:t>
            </w:r>
          </w:p>
        </w:tc>
        <w:tc>
          <w:tcPr>
            <w:tcW w:w="675" w:type="dxa"/>
            <w:vMerge w:val="restart"/>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bCs w:val="0"/>
                <w:i w:val="0"/>
                <w:iCs w:val="0"/>
                <w:caps w:val="0"/>
                <w:smallCaps w:val="0"/>
                <w:strike w:val="0"/>
                <w:dstrike w:val="0"/>
                <w:vanish w:val="0"/>
                <w:color w:val="333333"/>
                <w:spacing w:val="0"/>
                <w:sz w:val="24"/>
                <w:szCs w:val="24"/>
                <w:u w:val="none"/>
              </w:rPr>
            </w:pPr>
            <w:r>
              <w:rPr>
                <w:rFonts w:ascii="宋体" w:eastAsia="宋体" w:hint="eastAsia"/>
                <w:b/>
                <w:bCs w:val="0"/>
                <w:i w:val="0"/>
                <w:iCs w:val="0"/>
                <w:caps w:val="0"/>
                <w:smallCaps w:val="0"/>
                <w:strike w:val="0"/>
                <w:dstrike w:val="0"/>
                <w:vanish w:val="0"/>
                <w:color w:val="333333"/>
                <w:spacing w:val="0"/>
                <w:sz w:val="24"/>
                <w:szCs w:val="24"/>
                <w:u w:val="none"/>
              </w:rPr>
              <w:t>　　总计</w:t>
            </w:r>
          </w:p>
        </w:tc>
      </w:tr>
      <w:tr>
        <w:trPr>
          <w:tblHeader/>
        </w:trPr>
        <w:tc>
          <w:tcPr>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bCs w:val="0"/>
                <w:i w:val="0"/>
                <w:iCs w:val="0"/>
                <w:caps w:val="0"/>
                <w:smallCaps w:val="0"/>
                <w:strike w:val="0"/>
                <w:dstrike w:val="0"/>
                <w:vanish w:val="0"/>
                <w:color w:val="333333"/>
                <w:spacing w:val="0"/>
                <w:sz w:val="24"/>
                <w:szCs w:val="24"/>
                <w:u w:val="none"/>
              </w:rPr>
            </w:pPr>
            <w:r>
              <w:rPr>
                <w:rFonts w:ascii="宋体" w:eastAsia="宋体" w:hint="eastAsia"/>
                <w:b/>
                <w:bCs w:val="0"/>
                <w:i w:val="0"/>
                <w:iCs w:val="0"/>
                <w:caps w:val="0"/>
                <w:smallCaps w:val="0"/>
                <w:strike w:val="0"/>
                <w:dstrike w:val="0"/>
                <w:vanish w:val="0"/>
                <w:color w:val="333333"/>
                <w:spacing w:val="0"/>
                <w:sz w:val="24"/>
                <w:szCs w:val="24"/>
                <w:u w:val="none"/>
              </w:rPr>
              <w:t>　　商业企业</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bCs w:val="0"/>
                <w:i w:val="0"/>
                <w:iCs w:val="0"/>
                <w:caps w:val="0"/>
                <w:smallCaps w:val="0"/>
                <w:strike w:val="0"/>
                <w:dstrike w:val="0"/>
                <w:vanish w:val="0"/>
                <w:color w:val="333333"/>
                <w:spacing w:val="0"/>
                <w:sz w:val="24"/>
                <w:szCs w:val="24"/>
                <w:u w:val="none"/>
              </w:rPr>
            </w:pPr>
            <w:r>
              <w:rPr>
                <w:rFonts w:ascii="宋体" w:eastAsia="宋体" w:hint="eastAsia"/>
                <w:b/>
                <w:bCs w:val="0"/>
                <w:i w:val="0"/>
                <w:iCs w:val="0"/>
                <w:caps w:val="0"/>
                <w:smallCaps w:val="0"/>
                <w:strike w:val="0"/>
                <w:dstrike w:val="0"/>
                <w:vanish w:val="0"/>
                <w:color w:val="333333"/>
                <w:spacing w:val="0"/>
                <w:sz w:val="24"/>
                <w:szCs w:val="24"/>
                <w:u w:val="none"/>
              </w:rPr>
              <w:t>　　科研机构</w:t>
            </w:r>
          </w:p>
        </w:tc>
        <w:tc>
          <w:tcPr>
            <w:tcW w:w="765"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bCs w:val="0"/>
                <w:i w:val="0"/>
                <w:iCs w:val="0"/>
                <w:caps w:val="0"/>
                <w:smallCaps w:val="0"/>
                <w:strike w:val="0"/>
                <w:dstrike w:val="0"/>
                <w:vanish w:val="0"/>
                <w:color w:val="333333"/>
                <w:spacing w:val="0"/>
                <w:sz w:val="24"/>
                <w:szCs w:val="24"/>
                <w:u w:val="none"/>
              </w:rPr>
            </w:pPr>
            <w:r>
              <w:rPr>
                <w:rFonts w:ascii="宋体" w:eastAsia="宋体" w:hint="eastAsia"/>
                <w:b/>
                <w:bCs w:val="0"/>
                <w:i w:val="0"/>
                <w:iCs w:val="0"/>
                <w:caps w:val="0"/>
                <w:smallCaps w:val="0"/>
                <w:strike w:val="0"/>
                <w:dstrike w:val="0"/>
                <w:vanish w:val="0"/>
                <w:color w:val="333333"/>
                <w:spacing w:val="0"/>
                <w:sz w:val="24"/>
                <w:szCs w:val="24"/>
                <w:u w:val="none"/>
              </w:rPr>
              <w:t>　　社会公益组织</w:t>
            </w:r>
          </w:p>
        </w:tc>
        <w:tc>
          <w:tcPr>
            <w:tcW w:w="765"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bCs w:val="0"/>
                <w:i w:val="0"/>
                <w:iCs w:val="0"/>
                <w:caps w:val="0"/>
                <w:smallCaps w:val="0"/>
                <w:strike w:val="0"/>
                <w:dstrike w:val="0"/>
                <w:vanish w:val="0"/>
                <w:color w:val="333333"/>
                <w:spacing w:val="0"/>
                <w:sz w:val="24"/>
                <w:szCs w:val="24"/>
                <w:u w:val="none"/>
              </w:rPr>
            </w:pPr>
            <w:r>
              <w:rPr>
                <w:rFonts w:ascii="宋体" w:eastAsia="宋体" w:hint="eastAsia"/>
                <w:b/>
                <w:bCs w:val="0"/>
                <w:i w:val="0"/>
                <w:iCs w:val="0"/>
                <w:caps w:val="0"/>
                <w:smallCaps w:val="0"/>
                <w:strike w:val="0"/>
                <w:dstrike w:val="0"/>
                <w:vanish w:val="0"/>
                <w:color w:val="333333"/>
                <w:spacing w:val="0"/>
                <w:sz w:val="24"/>
                <w:szCs w:val="24"/>
                <w:u w:val="none"/>
              </w:rPr>
              <w:t>　　法律服务机构</w:t>
            </w:r>
          </w:p>
        </w:tc>
        <w:tc>
          <w:tcPr>
            <w:tcW w:w="495"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bCs w:val="0"/>
                <w:i w:val="0"/>
                <w:iCs w:val="0"/>
                <w:caps w:val="0"/>
                <w:smallCaps w:val="0"/>
                <w:strike w:val="0"/>
                <w:dstrike w:val="0"/>
                <w:vanish w:val="0"/>
                <w:color w:val="333333"/>
                <w:spacing w:val="0"/>
                <w:sz w:val="24"/>
                <w:szCs w:val="24"/>
                <w:u w:val="none"/>
              </w:rPr>
            </w:pPr>
            <w:r>
              <w:rPr>
                <w:rFonts w:ascii="宋体" w:eastAsia="宋体" w:hint="eastAsia"/>
                <w:b/>
                <w:bCs w:val="0"/>
                <w:i w:val="0"/>
                <w:iCs w:val="0"/>
                <w:caps w:val="0"/>
                <w:smallCaps w:val="0"/>
                <w:strike w:val="0"/>
                <w:dstrike w:val="0"/>
                <w:vanish w:val="0"/>
                <w:color w:val="333333"/>
                <w:spacing w:val="0"/>
                <w:sz w:val="24"/>
                <w:szCs w:val="24"/>
                <w:u w:val="none"/>
              </w:rPr>
              <w:t>　　其他</w:t>
            </w:r>
          </w:p>
        </w:tc>
        <w:tc>
          <w:tcPr>
            <w:vMerge/>
            <w:tcBorders>
              <w:top w:val="single" w:sz="6" w:space="0" w:color="auto"/>
              <w:bottom w:val="single" w:sz="6" w:space="0" w:color="auto"/>
              <w:right w:val="single" w:sz="6" w:space="0" w:color="auto"/>
              <w:tl2br w:val="nil"/>
              <w:tr2bl w:val="nil"/>
            </w:tcBorders>
            <w:shd w:val="clear" w:color="auto" w:fill="auto"/>
            <w:vAlign w:val="center"/>
          </w:tcPr>
          <w:p/>
        </w:tc>
      </w:tr>
      <w:tr>
        <w:tc>
          <w:tcPr>
            <w:tcW w:w="4305" w:type="dxa"/>
            <w:gridSpan w:val="3"/>
            <w:tcBorders>
              <w:left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一、本年新收政府信息公开申请数量</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6</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6</w:t>
            </w:r>
          </w:p>
        </w:tc>
      </w:tr>
      <w:tr>
        <w:tc>
          <w:tcPr>
            <w:tcW w:w="4305" w:type="dxa"/>
            <w:gridSpan w:val="3"/>
            <w:tcBorders>
              <w:left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二、上年结转政府信息公开申请数量</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1</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1</w:t>
            </w:r>
          </w:p>
        </w:tc>
      </w:tr>
      <w:tr>
        <w:tc>
          <w:tcPr>
            <w:tcW w:w="690" w:type="dxa"/>
            <w:vMerge w:val="restart"/>
            <w:tcBorders>
              <w:left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三、本年度办理结果</w:t>
            </w:r>
          </w:p>
        </w:tc>
        <w:tc>
          <w:tcPr>
            <w:tcW w:w="3600" w:type="dxa"/>
            <w:gridSpan w:val="2"/>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（一）予以公开</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7</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7</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3600" w:type="dxa"/>
            <w:gridSpan w:val="2"/>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（二）部分公开（区分处理的，只计这一情形，不计其他情形）</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930" w:type="dxa"/>
            <w:vMerge w:val="restart"/>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（三）不予公开</w:t>
            </w: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1.属于国家秘密</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675"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2.其他法律行政法规禁止公开</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3.危及“三安全一稳定”</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4.保护第三方合法权益</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5.属于三类内部事务信息</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6.属于四类过程性信息</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exac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7.属于行政执法案卷</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8.属于行政查询事项</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930" w:type="dxa"/>
            <w:vMerge w:val="restart"/>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（四）无法提供</w:t>
            </w: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1.本机关不掌握相关政府信息</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2.没有现成信息需要另行制作</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3.补正后申请内容仍不明确</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930" w:type="dxa"/>
            <w:vMerge w:val="restart"/>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（五）不予处理</w:t>
            </w: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1.信访举报投诉类申请</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2.重复申请</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3.要求提供公开出版物</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4.无正当理由大量反复申请</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5.要求行政机关确认或重新出具已获取信息</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930" w:type="dxa"/>
            <w:vMerge w:val="restart"/>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（六）其他处理</w:t>
            </w:r>
          </w:p>
        </w:tc>
        <w:tc>
          <w:tcPr>
            <w:tcW w:w="2670" w:type="dxa"/>
            <w:tcBorders>
              <w:left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1.申请人撤销申请</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left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2.咨询事项，指引咨询渠道</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tcW w:w="2670" w:type="dxa"/>
            <w:tcBorders>
              <w:left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3.逾期未补正</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tcW w:w="3600" w:type="dxa"/>
            <w:gridSpan w:val="2"/>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（七）总计</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7</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7</w:t>
            </w:r>
          </w:p>
        </w:tc>
      </w:tr>
      <w:tr>
        <w:tc>
          <w:tcPr>
            <w:tcW w:w="4305" w:type="dxa"/>
            <w:gridSpan w:val="3"/>
            <w:tcBorders>
              <w:left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四、结转下年度继续办理</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5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76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49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300"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tcW w:w="690" w:type="dxa"/>
            <w:tcBorders>
              <w:top w:val="nil"/>
              <w:left w:val="nil"/>
              <w:bottom w:val="nil"/>
              <w:right w:val="nil"/>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p>
        </w:tc>
        <w:tc>
          <w:tcPr>
            <w:tcW w:w="930" w:type="dxa"/>
            <w:tcBorders>
              <w:top w:val="nil"/>
              <w:left w:val="nil"/>
              <w:bottom w:val="nil"/>
              <w:right w:val="nil"/>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2670" w:type="dxa"/>
            <w:tcBorders>
              <w:top w:val="nil"/>
              <w:left w:val="nil"/>
              <w:bottom w:val="nil"/>
              <w:right w:val="nil"/>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30" w:type="dxa"/>
            <w:tcBorders>
              <w:top w:val="nil"/>
              <w:left w:val="nil"/>
              <w:bottom w:val="nil"/>
              <w:right w:val="nil"/>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top w:val="nil"/>
              <w:left w:val="nil"/>
              <w:bottom w:val="nil"/>
              <w:right w:val="nil"/>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50" w:type="dxa"/>
            <w:tcBorders>
              <w:top w:val="nil"/>
              <w:left w:val="nil"/>
              <w:bottom w:val="nil"/>
              <w:right w:val="nil"/>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65" w:type="dxa"/>
            <w:tcBorders>
              <w:top w:val="nil"/>
              <w:left w:val="nil"/>
              <w:bottom w:val="nil"/>
              <w:right w:val="nil"/>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765" w:type="dxa"/>
            <w:tcBorders>
              <w:top w:val="nil"/>
              <w:left w:val="nil"/>
              <w:bottom w:val="nil"/>
              <w:right w:val="nil"/>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495" w:type="dxa"/>
            <w:tcBorders>
              <w:top w:val="nil"/>
              <w:left w:val="nil"/>
              <w:bottom w:val="nil"/>
              <w:right w:val="nil"/>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c>
          <w:tcPr>
            <w:tcW w:w="675" w:type="dxa"/>
            <w:tcBorders>
              <w:top w:val="nil"/>
              <w:left w:val="nil"/>
              <w:bottom w:val="nil"/>
              <w:right w:val="nil"/>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p>
        </w:tc>
      </w:tr>
      <w:tr>
        <w:tc>
          <w:tcPr>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p>
        </w:tc>
        <w:tc>
          <w:tcPr>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p>
        </w:tc>
      </w:tr>
    </w:tbl>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hint="eastAsia"/>
          <w:b w:val="0"/>
          <w:bCs w:val="0"/>
          <w:i w:val="0"/>
          <w:iCs w:val="0"/>
          <w:caps w:val="0"/>
          <w:smallCaps w:val="0"/>
          <w:strike w:val="0"/>
          <w:dstrike w:val="0"/>
          <w:vanish w:val="0"/>
          <w:color w:val="333333"/>
          <w:spacing w:val="0"/>
          <w:sz w:val="32"/>
          <w:szCs w:val="32"/>
          <w:u w:val="none"/>
        </w:rPr>
      </w:pPr>
      <w:r>
        <w:rPr>
          <w:rFonts w:ascii="方正黑体_GBK" w:eastAsia="方正黑体_GBK" w:hint="eastAsia"/>
          <w:b w:val="0"/>
          <w:bCs w:val="0"/>
          <w:i w:val="0"/>
          <w:iCs w:val="0"/>
          <w:caps w:val="0"/>
          <w:smallCaps w:val="0"/>
          <w:strike w:val="0"/>
          <w:dstrike w:val="0"/>
          <w:vanish w:val="0"/>
          <w:color w:val="333333"/>
          <w:spacing w:val="0"/>
          <w:sz w:val="32"/>
          <w:szCs w:val="32"/>
          <w:u w:val="none"/>
        </w:rPr>
        <w:t>四、政府信息公开行政复议、行政诉讼情况</w:t>
      </w:r>
    </w:p>
    <w:tbl>
      <w:tblPr>
        <w:jc w:val="center"/>
        <w:tblW w:w="9075"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tc>
          <w:tcPr>
            <w:tcW w:w="3075"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行政复议</w:t>
            </w:r>
          </w:p>
        </w:tc>
        <w:tc>
          <w:tcPr>
            <w:tcW w:w="6000" w:type="dxa"/>
            <w:gridSpan w:val="10"/>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行政诉讼</w:t>
            </w:r>
          </w:p>
        </w:tc>
      </w:tr>
      <w:tr>
        <w:tc>
          <w:tcPr>
            <w:tcW w:w="600" w:type="dxa"/>
            <w:vMerge w:val="restart"/>
            <w:tcBorders>
              <w:left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结果维持</w:t>
            </w:r>
          </w:p>
        </w:tc>
        <w:tc>
          <w:tcPr>
            <w:tcW w:w="600" w:type="dxa"/>
            <w:vMerge w:val="restart"/>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结果纠正</w:t>
            </w:r>
          </w:p>
        </w:tc>
        <w:tc>
          <w:tcPr>
            <w:tcW w:w="600" w:type="dxa"/>
            <w:vMerge w:val="restart"/>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其他结果</w:t>
            </w:r>
          </w:p>
        </w:tc>
        <w:tc>
          <w:tcPr>
            <w:tcW w:w="600" w:type="dxa"/>
            <w:vMerge w:val="restart"/>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尚未审结</w:t>
            </w:r>
          </w:p>
        </w:tc>
        <w:tc>
          <w:tcPr>
            <w:tcW w:w="675" w:type="dxa"/>
            <w:vMerge w:val="restart"/>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总计</w:t>
            </w:r>
          </w:p>
        </w:tc>
        <w:tc>
          <w:tcPr>
            <w:tcW w:w="2970" w:type="dxa"/>
            <w:gridSpan w:val="5"/>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未经复议直接起诉</w:t>
            </w:r>
          </w:p>
        </w:tc>
        <w:tc>
          <w:tcPr>
            <w:tcW w:w="3030" w:type="dxa"/>
            <w:gridSpan w:val="5"/>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复议后起诉</w:t>
            </w:r>
          </w:p>
        </w:tc>
      </w:tr>
      <w:tr>
        <w:tc>
          <w:tcPr>
            <w:vMerge/>
            <w:tcBorders>
              <w:left w:val="single" w:sz="6" w:space="0" w:color="auto"/>
              <w:bottom w:val="single" w:sz="6" w:space="0" w:color="auto"/>
              <w:right w:val="single" w:sz="6" w:space="0" w:color="auto"/>
              <w:tl2br w:val="nil"/>
              <w:tr2bl w:val="nil"/>
            </w:tcBorders>
            <w:shd w:val="clear" w:color="auto" w:fill="auto"/>
            <w:vAlign w:val="center"/>
          </w:tcPr>
          <w:p/>
        </w:tc>
        <w:tc>
          <w:tcPr>
            <w:vMerge/>
            <w:tcBorders>
              <w:bottom w:val="single" w:sz="6" w:space="0" w:color="auto"/>
              <w:right w:val="single" w:sz="6" w:space="0" w:color="auto"/>
              <w:tl2br w:val="nil"/>
              <w:tr2bl w:val="nil"/>
            </w:tcBorders>
            <w:shd w:val="clear" w:color="auto" w:fill="auto"/>
            <w:vAlign w:val="center"/>
          </w:tcPr>
          <w:p/>
        </w:tc>
        <w:tc>
          <w:tcPr>
            <w:vMerge/>
            <w:tcBorders>
              <w:top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bottom w:val="single" w:sz="6" w:space="0" w:color="auto"/>
              <w:right w:val="single" w:sz="6" w:space="0" w:color="auto"/>
              <w:tl2br w:val="nil"/>
              <w:tr2bl w:val="nil"/>
            </w:tcBorders>
            <w:shd w:val="clear" w:color="auto" w:fill="auto"/>
            <w:vAlign w:val="center"/>
          </w:tcPr>
          <w:p/>
        </w:tc>
        <w:tc>
          <w:tcPr>
            <w:tcW w:w="55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结果维持</w:t>
            </w:r>
          </w:p>
        </w:tc>
        <w:tc>
          <w:tcPr>
            <w:tcW w:w="60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结果纠正</w:t>
            </w:r>
          </w:p>
        </w:tc>
        <w:tc>
          <w:tcPr>
            <w:tcW w:w="600"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其他结果</w:t>
            </w:r>
          </w:p>
        </w:tc>
        <w:tc>
          <w:tcPr>
            <w:tcW w:w="600"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尚未审结</w:t>
            </w:r>
          </w:p>
        </w:tc>
        <w:tc>
          <w:tcPr>
            <w:tcW w:w="615"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总计</w:t>
            </w:r>
          </w:p>
        </w:tc>
        <w:tc>
          <w:tcPr>
            <w:tcW w:w="600"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结果维持</w:t>
            </w:r>
          </w:p>
        </w:tc>
        <w:tc>
          <w:tcPr>
            <w:tcW w:w="600"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结果纠正</w:t>
            </w:r>
          </w:p>
        </w:tc>
        <w:tc>
          <w:tcPr>
            <w:tcW w:w="600"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其他结果</w:t>
            </w:r>
          </w:p>
        </w:tc>
        <w:tc>
          <w:tcPr>
            <w:tcW w:w="600"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尚未审结</w:t>
            </w:r>
          </w:p>
        </w:tc>
        <w:tc>
          <w:tcPr>
            <w:tcW w:w="630" w:type="dxa"/>
            <w:tcBorders>
              <w:top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总计</w:t>
            </w:r>
          </w:p>
        </w:tc>
      </w:tr>
      <w:tr>
        <w:tc>
          <w:tcPr>
            <w:tcW w:w="600" w:type="dxa"/>
            <w:tcBorders>
              <w:left w:val="single" w:sz="6" w:space="0" w:color="auto"/>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0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0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0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7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55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0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0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0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15"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0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0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0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0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c>
          <w:tcPr>
            <w:tcW w:w="630" w:type="dxa"/>
            <w:tcBorders>
              <w:bottom w:val="single" w:sz="6" w:space="0" w:color="auto"/>
              <w:right w:val="single" w:sz="6" w:space="0" w:color="auto"/>
              <w:tl2br w:val="nil"/>
              <w:tr2bl w:val="nil"/>
            </w:tcBorders>
            <w:shd w:val="clear" w:color="auto" w:fill="auto"/>
            <w:vAlign w:val="center"/>
          </w:tcPr>
          <w:p>
            <w:pPr>
              <w:pStyle w:val="15"/>
              <w:pBdr>
                <w:top w:val="none" w:sz="0" w:space="0" w:color="auto"/>
                <w:left w:val="none" w:sz="0" w:space="0" w:color="auto"/>
                <w:bottom w:val="none" w:sz="0" w:space="0" w:color="auto"/>
                <w:right w:val="none" w:sz="0" w:space="0" w:color="auto"/>
              </w:pBdr>
              <w:spacing w:before="224" w:beforeAutospacing="0" w:after="149" w:afterAutospacing="0" w:line="449" w:lineRule="atLeast"/>
              <w:ind w:left="0" w:right="0" w:firstLine="0"/>
              <w:jc w:val="center"/>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0</w:t>
            </w:r>
          </w:p>
        </w:tc>
      </w:tr>
      <w:tr>
        <w:tc>
          <w:tcPr>
            <w:tcW w:w="60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0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0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0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75"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555"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0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0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0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15"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0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0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0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0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r>
              <w:rPr>
                <w:rFonts w:ascii="宋体" w:eastAsia="宋体" w:hint="eastAsia"/>
                <w:b w:val="0"/>
                <w:bCs w:val="0"/>
                <w:i w:val="0"/>
                <w:iCs w:val="0"/>
                <w:caps w:val="0"/>
                <w:smallCaps w:val="0"/>
                <w:strike w:val="0"/>
                <w:dstrike w:val="0"/>
                <w:vanish w:val="0"/>
                <w:color w:val="666666"/>
                <w:spacing w:val="0"/>
                <w:sz w:val="21"/>
                <w:szCs w:val="21"/>
                <w:u w:val="none"/>
              </w:rPr>
              <w:t>　　</w:t>
            </w:r>
          </w:p>
        </w:tc>
        <w:tc>
          <w:tcPr>
            <w:tcW w:w="630" w:type="dxa"/>
            <w:tcBorders>
              <w:top w:val="nil"/>
              <w:left w:val="nil"/>
              <w:bottom w:val="nil"/>
              <w:right w:val="nil"/>
              <w:tl2br w:val="nil"/>
              <w:tr2bl w:val="nil"/>
            </w:tcBorders>
            <w:shd w:val="clear" w:color="auto" w:fill="auto"/>
            <w:vAlign w:val="center"/>
          </w:tcPr>
          <w:p>
            <w:pPr>
              <w:pStyle w:val="16"/>
              <w:spacing w:before="0" w:beforeAutospacing="0" w:after="0" w:afterAutospacing="0"/>
              <w:ind w:left="0" w:right="0" w:firstLine="0"/>
              <w:rPr>
                <w:rFonts w:ascii="宋体" w:eastAsia="宋体" w:hint="eastAsia"/>
                <w:b w:val="0"/>
                <w:bCs w:val="0"/>
                <w:i w:val="0"/>
                <w:iCs w:val="0"/>
                <w:caps w:val="0"/>
                <w:smallCaps w:val="0"/>
                <w:strike w:val="0"/>
                <w:dstrike w:val="0"/>
                <w:vanish w:val="0"/>
                <w:color w:val="666666"/>
                <w:spacing w:val="0"/>
                <w:sz w:val="21"/>
                <w:szCs w:val="21"/>
                <w:u w:val="none"/>
              </w:rPr>
            </w:pPr>
          </w:p>
        </w:tc>
      </w:tr>
    </w:tbl>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hint="eastAsia"/>
          <w:b w:val="0"/>
          <w:bCs w:val="0"/>
          <w:i w:val="0"/>
          <w:iCs w:val="0"/>
          <w:caps w:val="0"/>
          <w:smallCaps w:val="0"/>
          <w:strike w:val="0"/>
          <w:dstrike w:val="0"/>
          <w:vanish w:val="0"/>
          <w:color w:val="333333"/>
          <w:spacing w:val="0"/>
          <w:sz w:val="32"/>
          <w:szCs w:val="32"/>
          <w:u w:val="none"/>
        </w:rPr>
      </w:pPr>
      <w:r>
        <w:rPr>
          <w:rFonts w:ascii="宋体" w:eastAsia="宋体" w:hint="eastAsia"/>
          <w:b w:val="0"/>
          <w:bCs w:val="0"/>
          <w:i w:val="0"/>
          <w:iCs w:val="0"/>
          <w:caps w:val="0"/>
          <w:smallCaps w:val="0"/>
          <w:strike w:val="0"/>
          <w:dstrike w:val="0"/>
          <w:vanish w:val="0"/>
          <w:color w:val="333333"/>
          <w:spacing w:val="0"/>
          <w:sz w:val="24"/>
          <w:szCs w:val="24"/>
          <w:u w:val="none"/>
        </w:rPr>
        <w:t>　　</w:t>
      </w:r>
      <w:r>
        <w:rPr>
          <w:rFonts w:ascii="方正黑体_GBK" w:eastAsia="方正黑体_GBK" w:hint="eastAsia"/>
          <w:b w:val="0"/>
          <w:bCs w:val="0"/>
          <w:i w:val="0"/>
          <w:iCs w:val="0"/>
          <w:caps w:val="0"/>
          <w:smallCaps w:val="0"/>
          <w:strike w:val="0"/>
          <w:dstrike w:val="0"/>
          <w:vanish w:val="0"/>
          <w:color w:val="333333"/>
          <w:spacing w:val="0"/>
          <w:sz w:val="32"/>
          <w:szCs w:val="32"/>
          <w:u w:val="none"/>
        </w:rPr>
        <w:t>五、存在的主要问题及改进情况</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宋体" w:eastAsia="宋体" w:hint="eastAsia"/>
          <w:b w:val="0"/>
          <w:bCs w:val="0"/>
          <w:i w:val="0"/>
          <w:iCs w:val="0"/>
          <w:caps w:val="0"/>
          <w:smallCaps w:val="0"/>
          <w:strike w:val="0"/>
          <w:dstrike w:val="0"/>
          <w:vanish w:val="0"/>
          <w:color w:val="333333"/>
          <w:spacing w:val="0"/>
          <w:sz w:val="24"/>
          <w:szCs w:val="24"/>
          <w:u w:val="none"/>
        </w:rPr>
      </w:pPr>
      <w:r>
        <w:rPr>
          <w:rFonts w:ascii="宋体" w:eastAsia="宋体" w:hint="eastAsia"/>
          <w:b w:val="0"/>
          <w:bCs w:val="0"/>
          <w:i w:val="0"/>
          <w:iCs w:val="0"/>
          <w:caps w:val="0"/>
          <w:smallCaps w:val="0"/>
          <w:strike w:val="0"/>
          <w:dstrike w:val="0"/>
          <w:vanish w:val="0"/>
          <w:color w:val="333333"/>
          <w:spacing w:val="0"/>
          <w:sz w:val="24"/>
          <w:szCs w:val="24"/>
          <w:u w:val="none"/>
        </w:rPr>
        <w:t>　　</w:t>
      </w:r>
      <w:r>
        <w:rPr>
          <w:rFonts w:ascii="方正楷体_GBK" w:eastAsia="方正楷体_GBK" w:hint="eastAsia"/>
          <w:b w:val="0"/>
          <w:bCs w:val="0"/>
          <w:i w:val="0"/>
          <w:iCs w:val="0"/>
          <w:caps w:val="0"/>
          <w:smallCaps w:val="0"/>
          <w:strike w:val="0"/>
          <w:dstrike w:val="0"/>
          <w:vanish w:val="0"/>
          <w:color w:val="333333"/>
          <w:spacing w:val="0"/>
          <w:sz w:val="32"/>
          <w:szCs w:val="32"/>
          <w:u w:val="none"/>
        </w:rPr>
        <w:t>（一）2019年年报中所提问题整改情况。</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宋体" w:eastAsia="宋体" w:hint="eastAsia"/>
          <w:b w:val="0"/>
          <w:bCs w:val="0"/>
          <w:i w:val="0"/>
          <w:iCs w:val="0"/>
          <w:caps w:val="0"/>
          <w:smallCaps w:val="0"/>
          <w:strike w:val="0"/>
          <w:dstrike w:val="0"/>
          <w:vanish w:val="0"/>
          <w:color w:val="333333"/>
          <w:spacing w:val="0"/>
          <w:sz w:val="24"/>
          <w:szCs w:val="24"/>
          <w:u w:val="none"/>
        </w:rPr>
        <w:t>　　</w:t>
      </w:r>
      <w:r>
        <w:rPr>
          <w:rFonts w:ascii="方正仿宋_GBK" w:eastAsia="方正仿宋_GBK" w:hint="eastAsia"/>
          <w:b w:val="0"/>
          <w:bCs w:val="0"/>
          <w:i w:val="0"/>
          <w:iCs w:val="0"/>
          <w:caps w:val="0"/>
          <w:smallCaps w:val="0"/>
          <w:strike w:val="0"/>
          <w:dstrike w:val="0"/>
          <w:vanish w:val="0"/>
          <w:color w:val="333333"/>
          <w:spacing w:val="0"/>
          <w:sz w:val="32"/>
          <w:szCs w:val="32"/>
          <w:u w:val="none"/>
        </w:rPr>
        <w:t>我关认真对照总署16项考核指标及2019年评估通报结果，对标先进标杆，逐项深入查找工作中的不足和薄弱环节，梳理制定《呼和浩特海关2019年度政务公开总署考核评估通报存在问题整改方案及责任清单》《呼和浩特海关政务公开门户网站栏目整改建设方案》，通过聘请第三方公司参照总署评估模式开展专业检查评估，由总关办公室指定专人建立每日读网、巡检机制等措施，切实将整改措施落到实处。相关问题全部完成整改。一是已全部将原检验检疫数据整合，并按新的机构职能开设专栏，网站首页设置重要提示；二是已在门户网站设置专门的政策解读栏目，并分设总署政策解读（链接至总署网站）和本关政策解读，同时重点提升政策解读的内容和质量；三是按照《条例》法定主动公开内容和总署考核要求，调整完成政务公开目录和网站栏目设置。对法律、法规、规章和规范性文件公开的“法律依据”栏目，已统一链接至总署对应栏目，实现信息共享，并另开设本关规范性文件公开栏目。增设隶属海关栏目，完成工作职能、机构设置信息维护。重新梳理整合“办事服务指南”栏目，按照总署要求规范编制服务指南，组织关区各部门单位完成96项服务指南的编制发布工作，并提供相应下载功能。进一步加大对疫情防控和“六稳”“六保”政策措施及实施情况的公开、解读工作；四是按照《条例》第十二条第二款规定，编制更新《呼和浩特海关政府信息公开指南》，并在门户网站政府信息公开指南专栏予以发布；五是开设政府信息公开年报专栏，按时编制公开政府信息公开工作年度报告，对历年编制发布的年度报告进行检查评估；六是建立“政府信息公开目录”栏目，结合关区实际，5月份动态更新《呼和浩特海关政府信息主动公开基本目录》；七是对关区政府信息公开申请接收渠道进行全面梳理、排查，明确总关及隶属海关接收渠道的设置要求，并在门户网站的《呼和浩特海关政府信息公开指南》、依申请公开栏目中指引说明；八是认真落实《海关总署办公厅关于规范海关政府信息公开申请答复书的通知》（办公厅便函〔2020〕37号）要求，编制呼和浩特海关政府信息公开申请答复书模板，严格落实受理、办理、答复程序及时限要求；九是建立每周专人自查机制，对发现的个别隶属海关受理电话拨打不通、无人接听、无传真接收信息等问题，立行立改，确保政府信息公开申请事项咨询渠道畅通及可得性；十是针对2019年我关12360热线接听率、答复准确率不高，热线工作动态报送维护不及时，热线新媒体图文稿件、知识库条目采集报送少等问题，年内通过引入总署12360热线日常监控平台，强化日、周、月巡查考评，重新划分岗位分工、明确岗位职责、考核要求，强化热线员业务学习和岗位练兵，创建“12360热线知识库”，建立关区微信图文制作工作群等措施，重点从12360热线工作机制、考核要求和日常管理等方面进行全面整改，并取得实效；十一是进一步明确网站各栏目运维管理责任部门，落实值班读网和专人查看网站信箱要求，确保对网站业务咨询、留言3日内受理回复；十二是通过整改实现在法律法规、规范性文件和办事指南栏目提供专门下载渠道，提供WORD版本和PDF版本；十三是根据修订后的《条例》，修订印发《呼和浩特海关政府信息公开工作规程》，内容涵盖主动公开、依申请公开、保密审查等三项制度。将依申请公开的办理流程详细、完整地在网站依申请公开栏目公开；十四是进一步深入学习贯彻新《条例》，2020组织一期专门培训学习，邀请总署政务公开处专家对《条例》进行解读辅导，增强理解和认识，为更好开展工作奠定基础。</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w:t>
      </w:r>
      <w:r>
        <w:rPr>
          <w:rFonts w:ascii="方正楷体_GBK" w:eastAsia="方正楷体_GBK" w:hint="eastAsia"/>
          <w:b w:val="0"/>
          <w:bCs w:val="0"/>
          <w:i w:val="0"/>
          <w:iCs w:val="0"/>
          <w:caps w:val="0"/>
          <w:smallCaps w:val="0"/>
          <w:strike w:val="0"/>
          <w:dstrike w:val="0"/>
          <w:vanish w:val="0"/>
          <w:color w:val="333333"/>
          <w:spacing w:val="0"/>
          <w:sz w:val="32"/>
          <w:szCs w:val="32"/>
          <w:u w:val="none"/>
        </w:rPr>
        <w:t>（二）目前存在问题。</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一是主动公开的意识还不够。部分部门单位存在“不公开就没问题”的思想，不愿公开、不敢公开，对政府信息“公开是常态、不公开是例外”的原则把握不准，对按照《呼和浩特海关主动公开基本目录》明确的公开内容、时限、要求落实不到位；二是政策解读少。应解读的政策没有解读，尤其是今年疫情期间，各项政策出台及调整的数量多、范围广，涉及公众利益的内容多，相关部门单位跟进政策解读及引导执法预期所做的工作不多，与公众期盼差距较大；三是基层工作人员岗位调整频繁，对政务公开业务工作，特别是依申请公开办理程序、内容不够熟悉；四是责任落实不够到位。2020年在办公室开展的各类政务公开检查中共查发整改各类问题27个，涉及文种引用标题不规范、落款名称表述不正确、正文信息错别字、网站栏目更新不及时、转办事项超时等问题。针对存在的问题，2021年我关将以问题为导向，强化实地督导检查和业务培训，逐个对标对表跟进落实整改，不断推进关区政府信息公开工作取得新成效。　　　　</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w:t>
      </w:r>
      <w:r>
        <w:rPr>
          <w:rFonts w:ascii="方正黑体_GBK" w:eastAsia="方正黑体_GBK" w:hint="eastAsia"/>
          <w:b w:val="0"/>
          <w:bCs w:val="0"/>
          <w:i w:val="0"/>
          <w:iCs w:val="0"/>
          <w:caps w:val="0"/>
          <w:smallCaps w:val="0"/>
          <w:strike w:val="0"/>
          <w:dstrike w:val="0"/>
          <w:vanish w:val="0"/>
          <w:color w:val="333333"/>
          <w:spacing w:val="0"/>
          <w:sz w:val="32"/>
          <w:szCs w:val="32"/>
          <w:u w:val="none"/>
        </w:rPr>
        <w:t>六、其他需要报告的事项</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　　关区11个隶属海关，除阿拉善海关2020年12月份开关，不具备编制年报条件外，其余10个隶属海关及总关机关本级政府信息公开工作年报均已按时限要求完成编报，并在本关互联网门户网站对外公开发布。本年报中所列数据的统计时间自2020年1月1日起至2020年12月31日止。</w:t>
      </w:r>
    </w:p>
    <w:p>
      <w:pPr>
        <w:rPr>
          <w:rFonts w:ascii="宋体"/>
        </w:rPr>
      </w:pPr>
    </w:p>
    <w:sectPr>
      <w:pgSz w:w="11907" w:h="16839"/>
      <w:pgMar w:top="1440" w:right="1800" w:bottom="1440" w:left="1800" w:header="851" w:footer="992" w:gutter="0"/>
      <w:docGrid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Times New Roman">
    <w:panose1 w:val="02020603050405020304"/>
    <w:charset w:val="00"/>
    <w:family w:val="auto"/>
    <w:pitch w:val="variable"/>
    <w:sig w:usb0="00000A87" w:usb1="00000000" w:usb2="00000000" w:usb3="00000000" w:csb0="400001BF" w:csb1="DFF7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1"/>
    </w:pPr>
    <w:rPr>
      <w:rFonts w:ascii="宋体" w:eastAsia="宋体" w:cs="Times New Roman"/>
      <w:b/>
      <w:i w:val="0"/>
      <w:caps w:val="0"/>
      <w:smallCaps w:val="0"/>
      <w:strike w:val="0"/>
      <w:dstrike w:val="0"/>
      <w:snapToGrid/>
      <w:vanish w:val="0"/>
      <w:color w:val="auto"/>
      <w:spacing w:val="0"/>
      <w:w w:val="100"/>
      <w:kern w:val="0"/>
      <w:position w:val="0"/>
      <w:sz w:val="36"/>
      <w:szCs w:val="21"/>
      <w:u w:val="none" w:color="auto"/>
      <w:vertAlign w:val="baseline"/>
      <w:em w:val="none"/>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Normal (Web)"/>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16">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17">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18">
    <w:name w:val="样式 2 小四"/>
    <w:pPr>
      <w:widowControl w:val="0"/>
      <w:spacing w:line="240" w:lineRule="auto"/>
      <w:jc w:val="left"/>
    </w:pPr>
    <w:rPr>
      <w:rFonts w:ascii="宋体" w:eastAsia="宋体" w:cs="Times New Roman"/>
      <w:kern w:val="2"/>
      <w:sz w:val="24"/>
      <w:szCs w:val="21"/>
      <w:lang w:val="en-US" w:eastAsia="zh-CN" w:bidi="ar-SA"/>
    </w:rPr>
  </w:style>
  <w:style w:type="paragraph" w:customStyle="1" w:styleId="19">
    <w:name w:val="样式 3 小四"/>
    <w:pPr>
      <w:widowControl w:val="0"/>
      <w:spacing w:line="240" w:lineRule="auto"/>
      <w:jc w:val="left"/>
    </w:pPr>
    <w:rPr>
      <w:rFonts w:ascii="宋体" w:eastAsia="宋体" w:cs="Times New Roman"/>
      <w:kern w:val="2"/>
      <w:sz w:val="24"/>
      <w:szCs w:val="21"/>
      <w:lang w:val="en-US" w:eastAsia="zh-CN" w:bidi="ar-SA"/>
    </w:rPr>
  </w:style>
  <w:style w:type="paragraph" w:customStyle="1" w:styleId="20">
    <w:name w:val="样式 4 小四"/>
    <w:pPr>
      <w:widowControl w:val="0"/>
      <w:spacing w:line="240" w:lineRule="auto"/>
      <w:jc w:val="left"/>
    </w:pPr>
    <w:rPr>
      <w:rFonts w:ascii="宋体" w:eastAsia="宋体" w:cs="Times New Roman"/>
      <w:kern w:val="2"/>
      <w:sz w:val="24"/>
      <w:szCs w:val="21"/>
      <w:lang w:val="en-US" w:eastAsia="zh-CN" w:bidi="ar-SA"/>
    </w:rPr>
  </w:style>
  <w:style w:type="paragraph" w:customStyle="1" w:styleId="21">
    <w:name w:val="样式 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2">
    <w:name w:val="样式 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3">
    <w:name w:val="样式 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4">
    <w:name w:val="样式 8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5">
    <w:name w:val="样式 9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6">
    <w:name w:val="样式 10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7">
    <w:name w:val="样式 1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8">
    <w:name w:val="样式 1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9">
    <w:name w:val="样式 1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0">
    <w:name w:val="样式 1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1">
    <w:name w:val="样式 1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2">
    <w:name w:val="样式 1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3">
    <w:name w:val="样式 1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4">
    <w:name w:val="样式 18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5">
    <w:name w:val="样式 19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6">
    <w:name w:val="样式 20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7">
    <w:name w:val="样式 2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8">
    <w:name w:val="样式 2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9">
    <w:name w:val="样式 2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0">
    <w:name w:val="样式 2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1">
    <w:name w:val="样式 2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2">
    <w:name w:val="样式 2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3">
    <w:name w:val="样式 2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4">
    <w:name w:val="样式 28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5">
    <w:name w:val="样式 29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6">
    <w:name w:val="样式 30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7">
    <w:name w:val="样式 3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8">
    <w:name w:val="样式 3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9">
    <w:name w:val="样式 3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0">
    <w:name w:val="样式 3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1">
    <w:name w:val="样式 3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2">
    <w:name w:val="样式 3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3">
    <w:name w:val="样式 3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4">
    <w:name w:val="样式 38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5">
    <w:name w:val="样式 39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6">
    <w:name w:val="样式 40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7">
    <w:name w:val="样式 4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8">
    <w:name w:val="样式 4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9">
    <w:name w:val="样式 4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0">
    <w:name w:val="样式 4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1">
    <w:name w:val="样式 4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2">
    <w:name w:val="样式 4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3">
    <w:name w:val="样式 4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4">
    <w:name w:val="样式 48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5">
    <w:name w:val="样式 49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6">
    <w:name w:val="样式 50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7">
    <w:name w:val="样式 5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8">
    <w:name w:val="样式 5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9">
    <w:name w:val="样式 5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70">
    <w:name w:val="样式 5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71">
    <w:name w:val="样式 5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72">
    <w:name w:val="样式 5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73">
    <w:name w:val="样式 5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261</TotalTime>
  <Application>Yozo_Office</Application>
  <Pages>13</Pages>
  <Words>6727</Words>
  <Characters>6919</Characters>
  <Lines>647</Lines>
  <Paragraphs>320</Paragraphs>
  <CharactersWithSpaces>7277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刘金良</dc:creator>
  <cp:lastModifiedBy>曾得源</cp:lastModifiedBy>
  <cp:revision>0</cp:revision>
  <dcterms:created xsi:type="dcterms:W3CDTF">2021-04-25T06:57:20Z</dcterms:created>
  <dcterms:modified xsi:type="dcterms:W3CDTF">2022-09-15T07:18:44Z</dcterms:modified>
</cp:coreProperties>
</file>