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8"/>
        <w:autoSpaceDN w:val="0"/>
        <w:spacing w:line="580" w:lineRule="exact"/>
        <w:jc w:val="left"/>
        <w:rPr>
          <w:rFonts w:ascii="方正黑体_GBK" w:eastAsia="方正黑体_GBK" w:cs="方正小标宋_GBK" w:hint="eastAsia"/>
          <w:szCs w:val="32"/>
          <w:lang w:bidi="ar-SA"/>
        </w:rPr>
      </w:pPr>
      <w:r>
        <w:rPr>
          <w:rFonts w:ascii="方正黑体_GBK" w:eastAsia="方正黑体_GBK" w:cs="方正小标宋_GBK" w:hint="eastAsia"/>
          <w:szCs w:val="32"/>
          <w:lang w:bidi="ar-SA"/>
        </w:rPr>
        <w:t>附件</w:t>
      </w:r>
    </w:p>
    <w:p>
      <w:pPr>
        <w:pStyle w:val="18"/>
        <w:autoSpaceDN w:val="0"/>
        <w:spacing w:line="580" w:lineRule="exact"/>
        <w:jc w:val="center"/>
        <w:rPr>
          <w:rFonts w:ascii="方正小标宋_GBK" w:eastAsia="方正小标宋_GBK" w:cs="方正小标宋_GBK" w:hint="eastAsia"/>
          <w:sz w:val="44"/>
          <w:szCs w:val="44"/>
          <w:lang w:bidi="ar-SA"/>
        </w:rPr>
      </w:pPr>
    </w:p>
    <w:p>
      <w:pPr>
        <w:pStyle w:val="18"/>
        <w:autoSpaceDN w:val="0"/>
        <w:spacing w:line="580" w:lineRule="exact"/>
        <w:jc w:val="center"/>
        <w:rPr>
          <w:rFonts w:ascii="方正小标宋_GBK" w:eastAsia="方正小标宋_GBK" w:cs="方正小标宋_GBK"/>
          <w:sz w:val="44"/>
          <w:szCs w:val="44"/>
          <w:lang w:bidi="ar-SA"/>
        </w:rPr>
      </w:pPr>
      <w:r>
        <w:rPr>
          <w:rFonts w:ascii="方正小标宋_GBK" w:eastAsia="方正小标宋_GBK" w:cs="方正小标宋_GBK" w:hint="eastAsia"/>
          <w:sz w:val="44"/>
          <w:szCs w:val="44"/>
          <w:lang w:bidi="ar-SA"/>
        </w:rPr>
        <w:t>呼和浩特海关关区</w:t>
      </w:r>
      <w:r>
        <w:rPr>
          <w:rFonts w:eastAsia="方正小标宋_GBK"/>
          <w:sz w:val="44"/>
          <w:szCs w:val="44"/>
          <w:lang w:bidi="ar-SA"/>
        </w:rPr>
        <w:t>2024</w:t>
      </w:r>
      <w:r>
        <w:rPr>
          <w:rFonts w:ascii="方正小标宋_GBK" w:eastAsia="方正小标宋_GBK" w:cs="方正小标宋_GBK" w:hint="eastAsia"/>
          <w:sz w:val="44"/>
          <w:szCs w:val="44"/>
          <w:lang w:bidi="ar-SA"/>
        </w:rPr>
        <w:t>年政府信息公开工作</w:t>
      </w:r>
    </w:p>
    <w:p>
      <w:pPr>
        <w:pStyle w:val="18"/>
        <w:autoSpaceDN w:val="0"/>
        <w:spacing w:line="580" w:lineRule="exact"/>
        <w:jc w:val="center"/>
        <w:rPr>
          <w:rFonts w:ascii="方正小标宋_GBK" w:eastAsia="方正小标宋_GBK" w:cs="方正小标宋_GBK" w:hint="eastAsia"/>
          <w:sz w:val="44"/>
          <w:szCs w:val="44"/>
          <w:lang w:bidi="ar-SA"/>
        </w:rPr>
      </w:pPr>
      <w:r>
        <w:rPr>
          <w:rFonts w:ascii="方正小标宋_GBK" w:eastAsia="方正小标宋_GBK" w:cs="方正小标宋_GBK" w:hint="eastAsia"/>
          <w:sz w:val="44"/>
          <w:szCs w:val="44"/>
          <w:lang w:bidi="ar-SA"/>
        </w:rPr>
        <w:t>年度报告</w:t>
      </w:r>
    </w:p>
    <w:p>
      <w:pPr>
        <w:pStyle w:val="17"/>
        <w:widowControl/>
        <w:shd w:val="clear" w:color="auto" w:fill="FFFFFF"/>
        <w:autoSpaceDN w:val="0"/>
        <w:adjustRightInd w:val="0"/>
        <w:snapToGrid w:val="0"/>
        <w:spacing w:before="0" w:beforeAutospacing="0" w:after="0" w:afterAutospacing="0" w:line="560" w:lineRule="exact"/>
        <w:jc w:val="both"/>
        <w:rPr>
          <w:rFonts w:ascii="楷体_GB2312" w:eastAsia="楷体_GB2312" w:cs="楷体_GB2312" w:hint="eastAsia"/>
          <w:bCs/>
          <w:sz w:val="32"/>
          <w:szCs w:val="32"/>
          <w:shd w:val="clear" w:color="auto" w:fill="FFFFFF"/>
          <w:lang w:bidi="ar-SA"/>
        </w:rPr>
      </w:pPr>
    </w:p>
    <w:p>
      <w:pPr>
        <w:pStyle w:val="19"/>
        <w:autoSpaceDN w:val="0"/>
        <w:adjustRightInd w:val="0"/>
        <w:snapToGrid w:val="0"/>
        <w:spacing w:line="560" w:lineRule="exact"/>
        <w:ind w:firstLineChars="200" w:firstLine="640"/>
        <w:jc w:val="both"/>
        <w:rPr>
          <w:rFonts w:ascii="Times New Roman" w:eastAsia="方正仿宋_GBK" w:hAnsi="Times New Roman" w:hint="eastAsia"/>
          <w:bCs/>
          <w:sz w:val="32"/>
          <w:szCs w:val="32"/>
        </w:rPr>
      </w:pPr>
      <w:r>
        <w:rPr>
          <w:rFonts w:ascii="Times New Roman" w:eastAsia="方正仿宋_GBK" w:hAnsi="Times New Roman" w:hint="eastAsia"/>
          <w:bCs/>
          <w:sz w:val="32"/>
          <w:szCs w:val="32"/>
        </w:rPr>
        <w:t>本报告根据《中华人民共和国政府信息公开条例》《国务院办公厅政府信息与政务公开办公室关于印发</w:t>
      </w:r>
      <w:r>
        <w:rPr>
          <w:rFonts w:ascii="方正仿宋_GBK" w:eastAsia="方正仿宋_GBK" w:hint="eastAsia"/>
          <w:bCs/>
          <w:sz w:val="32"/>
          <w:szCs w:val="32"/>
        </w:rPr>
        <w:t>&lt;中华人民共和国政府信息公开工作年度报告格式&gt;</w:t>
      </w:r>
      <w:r>
        <w:rPr>
          <w:rFonts w:ascii="Times New Roman" w:eastAsia="方正仿宋_GBK" w:hAnsi="Times New Roman" w:hint="eastAsia"/>
          <w:bCs/>
          <w:sz w:val="32"/>
          <w:szCs w:val="32"/>
        </w:rPr>
        <w:t>的通知》（国办公开办函〔</w:t>
      </w:r>
      <w:r>
        <w:rPr>
          <w:rFonts w:ascii="Times New Roman" w:eastAsia="方正仿宋_GBK" w:hAnsi="Times New Roman"/>
          <w:bCs/>
          <w:sz w:val="32"/>
          <w:szCs w:val="32"/>
        </w:rPr>
        <w:t>2021</w:t>
      </w:r>
      <w:r>
        <w:rPr>
          <w:rFonts w:ascii="Times New Roman" w:eastAsia="方正仿宋_GBK" w:hAnsi="Times New Roman" w:hint="eastAsia"/>
          <w:bCs/>
          <w:sz w:val="32"/>
          <w:szCs w:val="32"/>
        </w:rPr>
        <w:t>〕</w:t>
      </w:r>
      <w:r>
        <w:rPr>
          <w:rFonts w:ascii="Times New Roman" w:eastAsia="方正仿宋_GBK" w:hAnsi="Times New Roman"/>
          <w:bCs/>
          <w:sz w:val="32"/>
          <w:szCs w:val="32"/>
        </w:rPr>
        <w:t>30</w:t>
      </w:r>
      <w:r>
        <w:rPr>
          <w:rFonts w:ascii="Times New Roman" w:eastAsia="方正仿宋_GBK" w:hAnsi="Times New Roman" w:hint="eastAsia"/>
          <w:bCs/>
          <w:sz w:val="32"/>
          <w:szCs w:val="32"/>
        </w:rPr>
        <w:t>号），梳理</w:t>
      </w:r>
      <w:r>
        <w:rPr>
          <w:rFonts w:ascii="Times New Roman" w:eastAsia="方正仿宋_GBK" w:hAnsi="Times New Roman"/>
          <w:bCs/>
          <w:sz w:val="32"/>
          <w:szCs w:val="32"/>
        </w:rPr>
        <w:t>2024</w:t>
      </w:r>
      <w:r>
        <w:rPr>
          <w:rFonts w:ascii="Times New Roman" w:eastAsia="方正仿宋_GBK" w:hAnsi="Times New Roman" w:hint="eastAsia"/>
          <w:bCs/>
          <w:sz w:val="32"/>
          <w:szCs w:val="32"/>
        </w:rPr>
        <w:t>年呼和浩特海关关区政务公开工作编制而成。本报告所列数据的统计期限，自</w:t>
      </w:r>
      <w:r>
        <w:rPr>
          <w:rFonts w:ascii="Times New Roman" w:eastAsia="方正仿宋_GBK" w:hAnsi="Times New Roman"/>
          <w:bCs/>
          <w:sz w:val="32"/>
          <w:szCs w:val="32"/>
        </w:rPr>
        <w:t>2024</w:t>
      </w:r>
      <w:r>
        <w:rPr>
          <w:rFonts w:ascii="Times New Roman" w:eastAsia="方正仿宋_GBK" w:hAnsi="Times New Roman" w:hint="eastAsia"/>
          <w:bCs/>
          <w:sz w:val="32"/>
          <w:szCs w:val="32"/>
        </w:rPr>
        <w:t>年</w:t>
      </w:r>
      <w:r>
        <w:rPr>
          <w:rFonts w:ascii="Times New Roman" w:eastAsia="方正仿宋_GBK" w:hAnsi="Times New Roman"/>
          <w:bCs/>
          <w:sz w:val="32"/>
          <w:szCs w:val="32"/>
        </w:rPr>
        <w:t>1</w:t>
      </w:r>
      <w:r>
        <w:rPr>
          <w:rFonts w:ascii="Times New Roman" w:eastAsia="方正仿宋_GBK" w:hAnsi="Times New Roman" w:hint="eastAsia"/>
          <w:bCs/>
          <w:sz w:val="32"/>
          <w:szCs w:val="32"/>
        </w:rPr>
        <w:t>月</w:t>
      </w:r>
      <w:r>
        <w:rPr>
          <w:rFonts w:ascii="Times New Roman" w:eastAsia="方正仿宋_GBK" w:hAnsi="Times New Roman"/>
          <w:bCs/>
          <w:sz w:val="32"/>
          <w:szCs w:val="32"/>
        </w:rPr>
        <w:t>1</w:t>
      </w:r>
      <w:r>
        <w:rPr>
          <w:rFonts w:ascii="Times New Roman" w:eastAsia="方正仿宋_GBK" w:hAnsi="Times New Roman" w:hint="eastAsia"/>
          <w:bCs/>
          <w:sz w:val="32"/>
          <w:szCs w:val="32"/>
        </w:rPr>
        <w:t>日起至</w:t>
      </w:r>
      <w:r>
        <w:rPr>
          <w:rFonts w:ascii="Times New Roman" w:eastAsia="方正仿宋_GBK" w:hAnsi="Times New Roman"/>
          <w:bCs/>
          <w:sz w:val="32"/>
          <w:szCs w:val="32"/>
        </w:rPr>
        <w:t>2024</w:t>
      </w:r>
      <w:r>
        <w:rPr>
          <w:rFonts w:ascii="Times New Roman" w:eastAsia="方正仿宋_GBK" w:hAnsi="Times New Roman" w:hint="eastAsia"/>
          <w:bCs/>
          <w:sz w:val="32"/>
          <w:szCs w:val="32"/>
        </w:rPr>
        <w:t>年</w:t>
      </w:r>
      <w:r>
        <w:rPr>
          <w:rFonts w:ascii="Times New Roman" w:eastAsia="方正仿宋_GBK" w:hAnsi="Times New Roman"/>
          <w:bCs/>
          <w:sz w:val="32"/>
          <w:szCs w:val="32"/>
        </w:rPr>
        <w:t>12</w:t>
      </w:r>
      <w:r>
        <w:rPr>
          <w:rFonts w:ascii="Times New Roman" w:eastAsia="方正仿宋_GBK" w:hAnsi="Times New Roman" w:hint="eastAsia"/>
          <w:bCs/>
          <w:sz w:val="32"/>
          <w:szCs w:val="32"/>
        </w:rPr>
        <w:t>月</w:t>
      </w:r>
      <w:r>
        <w:rPr>
          <w:rFonts w:ascii="Times New Roman" w:eastAsia="方正仿宋_GBK" w:hAnsi="Times New Roman"/>
          <w:bCs/>
          <w:sz w:val="32"/>
          <w:szCs w:val="32"/>
        </w:rPr>
        <w:t>31</w:t>
      </w:r>
      <w:r>
        <w:rPr>
          <w:rFonts w:ascii="Times New Roman" w:eastAsia="方正仿宋_GBK" w:hAnsi="Times New Roman" w:hint="eastAsia"/>
          <w:bCs/>
          <w:sz w:val="32"/>
          <w:szCs w:val="32"/>
        </w:rPr>
        <w:t>日止。如对本报告有任何疑问，请联系呼和浩特海关办公室（地址：呼和浩特市如意开发区如意和大街</w:t>
      </w:r>
      <w:r>
        <w:rPr>
          <w:rFonts w:ascii="Times New Roman" w:eastAsia="方正仿宋_GBK" w:hAnsi="Times New Roman"/>
          <w:bCs/>
          <w:sz w:val="32"/>
          <w:szCs w:val="32"/>
        </w:rPr>
        <w:t>37</w:t>
      </w:r>
      <w:r>
        <w:rPr>
          <w:rFonts w:ascii="Times New Roman" w:eastAsia="方正仿宋_GBK" w:hAnsi="Times New Roman" w:hint="eastAsia"/>
          <w:bCs/>
          <w:sz w:val="32"/>
          <w:szCs w:val="32"/>
        </w:rPr>
        <w:t>号，邮政编码：</w:t>
      </w:r>
      <w:r>
        <w:rPr>
          <w:rFonts w:ascii="Times New Roman" w:eastAsia="方正仿宋_GBK" w:hAnsi="Times New Roman"/>
          <w:bCs/>
          <w:sz w:val="32"/>
          <w:szCs w:val="32"/>
        </w:rPr>
        <w:t>010010</w:t>
      </w:r>
      <w:r>
        <w:rPr>
          <w:rFonts w:ascii="Times New Roman" w:eastAsia="方正仿宋_GBK" w:hAnsi="Times New Roman" w:hint="eastAsia"/>
          <w:bCs/>
          <w:sz w:val="32"/>
          <w:szCs w:val="32"/>
        </w:rPr>
        <w:t>，联系电话：</w:t>
      </w:r>
      <w:r>
        <w:rPr>
          <w:rFonts w:ascii="Times New Roman" w:eastAsia="方正仿宋_GBK" w:hAnsi="Times New Roman"/>
          <w:bCs/>
          <w:sz w:val="32"/>
          <w:szCs w:val="32"/>
        </w:rPr>
        <w:t>0471-6992424</w:t>
      </w:r>
      <w:r>
        <w:rPr>
          <w:rFonts w:ascii="Times New Roman" w:eastAsia="方正仿宋_GBK" w:hAnsi="Times New Roman" w:hint="eastAsia"/>
          <w:bCs/>
          <w:sz w:val="32"/>
          <w:szCs w:val="32"/>
        </w:rPr>
        <w:t>，电子邮箱：</w:t>
      </w:r>
      <w:r>
        <w:rPr>
          <w:rFonts w:ascii="Times New Roman" w:eastAsia="方正仿宋_GBK" w:hAnsi="Times New Roman"/>
          <w:bCs/>
          <w:sz w:val="32"/>
          <w:szCs w:val="32"/>
        </w:rPr>
        <w:t>hhhthgysqgk@163.com</w:t>
      </w:r>
      <w:r>
        <w:rPr>
          <w:rFonts w:ascii="Times New Roman" w:eastAsia="方正仿宋_GBK" w:hAnsi="Times New Roman" w:hint="eastAsia"/>
          <w:bCs/>
          <w:sz w:val="32"/>
          <w:szCs w:val="32"/>
        </w:rPr>
        <w:t>）。</w:t>
      </w:r>
    </w:p>
    <w:p>
      <w:pPr>
        <w:pStyle w:val="17"/>
        <w:widowControl/>
        <w:shd w:val="clear" w:color="auto" w:fill="FFFFFF"/>
        <w:autoSpaceDN w:val="0"/>
        <w:adjustRightInd w:val="0"/>
        <w:snapToGrid w:val="0"/>
        <w:spacing w:before="0" w:beforeAutospacing="0" w:after="0" w:afterAutospacing="0" w:line="560" w:lineRule="exact"/>
        <w:ind w:firstLineChars="200" w:firstLine="640"/>
        <w:jc w:val="both"/>
        <w:rPr>
          <w:rFonts w:ascii="方正黑体_GBK" w:eastAsia="方正黑体_GBK" w:cs="楷体_GB2312" w:hint="eastAsia"/>
          <w:bCs/>
          <w:sz w:val="32"/>
          <w:szCs w:val="32"/>
          <w:lang w:bidi="ar-SA"/>
        </w:rPr>
      </w:pPr>
      <w:r>
        <w:rPr>
          <w:rFonts w:ascii="方正黑体_GBK" w:eastAsia="方正黑体_GBK" w:cs="楷体_GB2312" w:hint="eastAsia"/>
          <w:bCs/>
          <w:sz w:val="32"/>
          <w:szCs w:val="32"/>
          <w:shd w:val="clear" w:color="auto" w:fill="FFFFFF"/>
          <w:lang w:bidi="ar-SA"/>
        </w:rPr>
        <w:t>一、总体情况</w:t>
      </w:r>
    </w:p>
    <w:p>
      <w:pPr>
        <w:pStyle w:val="20"/>
        <w:autoSpaceDN w:val="0"/>
        <w:adjustRightInd w:val="0"/>
        <w:snapToGrid w:val="0"/>
        <w:spacing w:line="560" w:lineRule="exact"/>
        <w:ind w:firstLineChars="200" w:firstLine="640"/>
        <w:jc w:val="both"/>
        <w:rPr>
          <w:rFonts w:ascii="Times New Roman" w:eastAsia="方正仿宋_GBK" w:hAnsi="Times New Roman" w:hint="eastAsia"/>
          <w:sz w:val="32"/>
          <w:szCs w:val="32"/>
          <w:lang w:bidi="ar-SA"/>
        </w:rPr>
      </w:pPr>
      <w:r>
        <w:rPr>
          <w:rFonts w:ascii="方正楷体_GBK" w:eastAsia="方正楷体_GBK" w:hint="eastAsia"/>
          <w:b/>
          <w:bCs/>
          <w:sz w:val="32"/>
          <w:szCs w:val="32"/>
          <w:lang w:bidi="ar-SA"/>
        </w:rPr>
        <w:t>（一）着力推进政府信息主动公开。</w:t>
      </w:r>
      <w:r>
        <w:rPr>
          <w:rFonts w:eastAsia="方正仿宋_GBK" w:hint="eastAsia"/>
          <w:sz w:val="32"/>
          <w:szCs w:val="32"/>
          <w:lang w:bidi="ar-SA"/>
        </w:rPr>
        <w:t>强化保密审核等机制</w:t>
      </w:r>
      <w:r>
        <w:rPr>
          <w:rFonts w:eastAsia="方正仿宋_GBK" w:hint="eastAsia"/>
          <w:sz w:val="32"/>
          <w:szCs w:val="32"/>
        </w:rPr>
        <w:t>落实，推进重点领域政府信息公开，围绕海关数据统计、优化营商环境措施、政策解读、公共事业单位领域加大信息公开力度</w:t>
      </w:r>
      <w:r>
        <w:rPr>
          <w:rFonts w:ascii="Times New Roman" w:eastAsia="方正仿宋_GBK" w:hAnsi="Times New Roman" w:hint="eastAsia"/>
          <w:sz w:val="32"/>
          <w:szCs w:val="32"/>
        </w:rPr>
        <w:t>。</w:t>
      </w:r>
      <w:r>
        <w:rPr>
          <w:rFonts w:ascii="Times New Roman" w:eastAsia="方正仿宋_GBK" w:hAnsi="Times New Roman"/>
          <w:sz w:val="32"/>
          <w:szCs w:val="32"/>
          <w:lang w:bidi="ar-SA"/>
        </w:rPr>
        <w:t>2024</w:t>
      </w:r>
      <w:r>
        <w:rPr>
          <w:rFonts w:ascii="Times New Roman" w:eastAsia="方正仿宋_GBK" w:hAnsi="Times New Roman" w:hint="eastAsia"/>
          <w:sz w:val="32"/>
          <w:szCs w:val="32"/>
          <w:lang w:bidi="ar-SA"/>
        </w:rPr>
        <w:t>年在门户网站主动公开海关信息</w:t>
      </w:r>
      <w:r>
        <w:rPr>
          <w:rFonts w:ascii="Times New Roman" w:eastAsia="方正仿宋_GBK" w:hAnsi="Times New Roman"/>
          <w:sz w:val="32"/>
          <w:szCs w:val="32"/>
          <w:lang w:bidi="ar-SA"/>
        </w:rPr>
        <w:t>1967</w:t>
      </w:r>
      <w:r>
        <w:rPr>
          <w:rFonts w:ascii="Times New Roman" w:eastAsia="方正仿宋_GBK" w:hAnsi="Times New Roman" w:hint="eastAsia"/>
          <w:sz w:val="32"/>
          <w:szCs w:val="32"/>
          <w:lang w:bidi="ar-SA"/>
        </w:rPr>
        <w:t>条。紧扣企业群众关心关注事项，结合区位特点加强政策解读，在门户网站发布政策解读文章</w:t>
      </w:r>
      <w:r>
        <w:rPr>
          <w:rFonts w:ascii="Times New Roman" w:eastAsia="方正仿宋_GBK" w:hAnsi="Times New Roman"/>
          <w:sz w:val="32"/>
          <w:szCs w:val="32"/>
          <w:lang w:bidi="ar-SA"/>
        </w:rPr>
        <w:t>32</w:t>
      </w:r>
      <w:r>
        <w:rPr>
          <w:rFonts w:ascii="Times New Roman" w:eastAsia="方正仿宋_GBK" w:hAnsi="Times New Roman" w:hint="eastAsia"/>
          <w:sz w:val="32"/>
          <w:szCs w:val="32"/>
          <w:lang w:bidi="ar-SA"/>
        </w:rPr>
        <w:t>篇，在</w:t>
      </w:r>
      <w:r>
        <w:rPr>
          <w:rFonts w:ascii="Times New Roman" w:eastAsia="方正仿宋_GBK" w:hAnsi="Times New Roman"/>
          <w:sz w:val="32"/>
          <w:szCs w:val="32"/>
          <w:lang w:bidi="ar-SA"/>
        </w:rPr>
        <w:t>12360</w:t>
      </w:r>
      <w:r>
        <w:rPr>
          <w:rFonts w:ascii="Times New Roman" w:eastAsia="方正仿宋_GBK" w:hAnsi="Times New Roman" w:hint="eastAsia"/>
          <w:sz w:val="32"/>
          <w:szCs w:val="32"/>
          <w:lang w:bidi="ar-SA"/>
        </w:rPr>
        <w:t>服务热线微信公众号发布、转载政策解读、便利措施和办事指引等</w:t>
      </w:r>
      <w:r>
        <w:rPr>
          <w:rFonts w:ascii="Times New Roman" w:eastAsia="方正仿宋_GBK" w:hAnsi="Times New Roman"/>
          <w:sz w:val="32"/>
          <w:szCs w:val="32"/>
          <w:lang w:bidi="ar-SA"/>
        </w:rPr>
        <w:t>316</w:t>
      </w:r>
      <w:r>
        <w:rPr>
          <w:rFonts w:ascii="Times New Roman" w:eastAsia="方正仿宋_GBK" w:hAnsi="Times New Roman" w:hint="eastAsia"/>
          <w:sz w:val="32"/>
          <w:szCs w:val="32"/>
          <w:lang w:bidi="ar-SA"/>
        </w:rPr>
        <w:t>篇。</w:t>
      </w:r>
    </w:p>
    <w:p>
      <w:pPr>
        <w:pStyle w:val="21"/>
        <w:widowControl/>
        <w:autoSpaceDN w:val="0"/>
        <w:spacing w:line="560" w:lineRule="exact"/>
        <w:ind w:firstLineChars="200" w:firstLine="640"/>
        <w:rPr>
          <w:rFonts w:ascii="Times New Roman" w:eastAsia="方正仿宋_GBK" w:hAnsi="Times New Roman"/>
          <w:sz w:val="32"/>
          <w:szCs w:val="32"/>
          <w:lang w:bidi="ar-SA"/>
        </w:rPr>
      </w:pPr>
      <w:r>
        <w:rPr>
          <w:rFonts w:ascii="方正楷体_GBK" w:eastAsia="方正楷体_GBK" w:hint="eastAsia"/>
          <w:b/>
          <w:bCs/>
          <w:sz w:val="32"/>
          <w:szCs w:val="32"/>
          <w:lang w:bidi="ar-SA"/>
        </w:rPr>
        <w:t>（二）切实提升依申请公开质效。</w:t>
      </w:r>
      <w:r>
        <w:rPr>
          <w:rFonts w:ascii="Times New Roman" w:eastAsia="方正仿宋_GBK" w:hAnsi="Times New Roman" w:hint="eastAsia"/>
          <w:sz w:val="32"/>
          <w:szCs w:val="32"/>
          <w:lang w:bidi="ar-SA"/>
        </w:rPr>
        <w:t>持续</w:t>
      </w:r>
      <w:r>
        <w:rPr>
          <w:rFonts w:ascii="Times New Roman" w:eastAsia="方正仿宋_GBK" w:hAnsi="Times New Roman" w:hint="eastAsia"/>
          <w:sz w:val="32"/>
          <w:szCs w:val="32"/>
        </w:rPr>
        <w:t>规范依申请公开办理流程，严把依申请公开法规关和程序关，及时准确回应企业群众诉求，高质量办理依申请公开事项。</w:t>
      </w:r>
      <w:r>
        <w:rPr>
          <w:rFonts w:ascii="Times New Roman" w:eastAsia="方正仿宋_GBK" w:hAnsi="Times New Roman"/>
          <w:sz w:val="32"/>
          <w:szCs w:val="32"/>
          <w:lang w:bidi="ar-SA"/>
        </w:rPr>
        <w:t>2024</w:t>
      </w:r>
      <w:r>
        <w:rPr>
          <w:rFonts w:ascii="Times New Roman" w:eastAsia="方正仿宋_GBK" w:hAnsi="Times New Roman" w:hint="eastAsia"/>
          <w:sz w:val="32"/>
          <w:szCs w:val="32"/>
          <w:lang w:bidi="ar-SA"/>
        </w:rPr>
        <w:t>年关区共收到政府信息公开申请</w:t>
      </w:r>
      <w:r>
        <w:rPr>
          <w:rFonts w:ascii="Times New Roman" w:eastAsia="方正仿宋_GBK" w:hAnsi="Times New Roman"/>
          <w:sz w:val="32"/>
          <w:szCs w:val="32"/>
          <w:lang w:bidi="ar-SA"/>
        </w:rPr>
        <w:t>8</w:t>
      </w:r>
      <w:r>
        <w:rPr>
          <w:rFonts w:ascii="Times New Roman" w:eastAsia="方正仿宋_GBK" w:hAnsi="Times New Roman" w:hint="eastAsia"/>
          <w:sz w:val="32"/>
          <w:szCs w:val="32"/>
          <w:lang w:bidi="ar-SA"/>
        </w:rPr>
        <w:t>件，其中呼和浩特海关本级、白塔机场海关、二连海关、额济纳海关各</w:t>
      </w:r>
      <w:r>
        <w:rPr>
          <w:rFonts w:ascii="Times New Roman" w:eastAsia="方正仿宋_GBK" w:hAnsi="Times New Roman"/>
          <w:sz w:val="32"/>
          <w:szCs w:val="32"/>
          <w:lang w:bidi="ar-SA"/>
        </w:rPr>
        <w:t>2</w:t>
      </w:r>
      <w:r>
        <w:rPr>
          <w:rFonts w:ascii="Times New Roman" w:eastAsia="方正仿宋_GBK" w:hAnsi="Times New Roman" w:hint="eastAsia"/>
          <w:sz w:val="32"/>
          <w:szCs w:val="32"/>
          <w:lang w:bidi="ar-SA"/>
        </w:rPr>
        <w:t>件，全部按时按程序办结。全年未发生因信息公开申请答复引起的投诉举报、行政复议、行政诉讼。</w:t>
      </w:r>
    </w:p>
    <w:p>
      <w:pPr>
        <w:pStyle w:val="22"/>
        <w:widowControl/>
        <w:autoSpaceDN w:val="0"/>
        <w:spacing w:line="560" w:lineRule="exact"/>
        <w:ind w:firstLineChars="200" w:firstLine="640"/>
        <w:rPr>
          <w:rFonts w:ascii="Times New Roman" w:eastAsia="方正仿宋_GBK" w:hAnsi="Times New Roman"/>
          <w:sz w:val="32"/>
          <w:szCs w:val="32"/>
          <w:lang w:val="zh-CN"/>
        </w:rPr>
      </w:pPr>
      <w:r>
        <w:rPr>
          <w:rFonts w:ascii="方正楷体_GBK" w:eastAsia="方正楷体_GBK" w:hint="eastAsia"/>
          <w:b/>
          <w:bCs/>
          <w:sz w:val="32"/>
          <w:szCs w:val="32"/>
          <w:lang w:bidi="ar-SA"/>
        </w:rPr>
        <w:t>（三）持续优化平台建设。</w:t>
      </w:r>
      <w:r>
        <w:rPr>
          <w:rFonts w:ascii="Times New Roman" w:eastAsia="方正仿宋_GBK" w:hAnsi="Times New Roman" w:hint="eastAsia"/>
          <w:bCs/>
          <w:sz w:val="32"/>
          <w:szCs w:val="32"/>
          <w:lang w:bidi="ar-SA"/>
        </w:rPr>
        <w:t>持续</w:t>
      </w:r>
      <w:r>
        <w:rPr>
          <w:rFonts w:ascii="Times New Roman" w:eastAsia="方正仿宋_GBK" w:hAnsi="Times New Roman" w:hint="eastAsia"/>
          <w:sz w:val="32"/>
          <w:szCs w:val="32"/>
        </w:rPr>
        <w:t>维护门户网站政府信息公开目录、食品安全法律法规、优化口岸营商环境等专题专栏及“海关监管货物仓储企业注册”“出境特定动植物及其产品和其他检疫物的生产、加工、存放单位注册登记行政审批事项”等场景式服务，提升平台服务水平。密切关注、积极回应企业群众诉求，办理答复门户网站业务咨询</w:t>
      </w:r>
      <w:r>
        <w:rPr>
          <w:rFonts w:ascii="Times New Roman" w:eastAsia="方正仿宋_GBK" w:hAnsi="Times New Roman"/>
          <w:sz w:val="32"/>
          <w:szCs w:val="32"/>
        </w:rPr>
        <w:t>74</w:t>
      </w:r>
      <w:r>
        <w:rPr>
          <w:rFonts w:ascii="Times New Roman" w:eastAsia="方正仿宋_GBK" w:hAnsi="Times New Roman" w:hint="eastAsia"/>
          <w:sz w:val="32"/>
          <w:szCs w:val="32"/>
        </w:rPr>
        <w:t>件、关长信箱</w:t>
      </w:r>
      <w:r>
        <w:rPr>
          <w:rFonts w:ascii="Times New Roman" w:eastAsia="方正仿宋_GBK" w:hAnsi="Times New Roman"/>
          <w:sz w:val="32"/>
          <w:szCs w:val="32"/>
        </w:rPr>
        <w:t>10</w:t>
      </w:r>
      <w:r>
        <w:rPr>
          <w:rFonts w:ascii="Times New Roman" w:eastAsia="方正仿宋_GBK" w:hAnsi="Times New Roman" w:hint="eastAsia"/>
          <w:sz w:val="32"/>
          <w:szCs w:val="32"/>
        </w:rPr>
        <w:t>件、</w:t>
      </w:r>
      <w:r>
        <w:rPr>
          <w:rFonts w:ascii="Times New Roman" w:eastAsia="方正仿宋_GBK" w:hAnsi="Times New Roman"/>
          <w:sz w:val="32"/>
          <w:szCs w:val="32"/>
        </w:rPr>
        <w:t>12345</w:t>
      </w:r>
      <w:r>
        <w:rPr>
          <w:rFonts w:ascii="Times New Roman" w:eastAsia="方正仿宋_GBK" w:hAnsi="Times New Roman" w:hint="eastAsia"/>
          <w:sz w:val="32"/>
          <w:szCs w:val="32"/>
        </w:rPr>
        <w:t>热线转办诉求</w:t>
      </w:r>
      <w:r>
        <w:rPr>
          <w:rFonts w:ascii="Times New Roman" w:eastAsia="方正仿宋_GBK" w:hAnsi="Times New Roman"/>
          <w:sz w:val="32"/>
          <w:szCs w:val="32"/>
        </w:rPr>
        <w:t>40</w:t>
      </w:r>
      <w:r>
        <w:rPr>
          <w:rFonts w:ascii="Times New Roman" w:eastAsia="方正仿宋_GBK" w:hAnsi="Times New Roman" w:hint="eastAsia"/>
          <w:sz w:val="32"/>
          <w:szCs w:val="32"/>
        </w:rPr>
        <w:t>件，开展“关长接待日”</w:t>
      </w:r>
      <w:r>
        <w:rPr>
          <w:rFonts w:ascii="Times New Roman" w:eastAsia="方正仿宋_GBK" w:hAnsi="Times New Roman"/>
          <w:sz w:val="32"/>
          <w:szCs w:val="32"/>
        </w:rPr>
        <w:t>144</w:t>
      </w:r>
      <w:r>
        <w:rPr>
          <w:rFonts w:ascii="Times New Roman" w:eastAsia="方正仿宋_GBK" w:hAnsi="Times New Roman" w:hint="eastAsia"/>
          <w:sz w:val="32"/>
          <w:szCs w:val="32"/>
        </w:rPr>
        <w:t>次，通过门户网站开展问卷调查</w:t>
      </w:r>
      <w:r>
        <w:rPr>
          <w:rFonts w:ascii="Times New Roman" w:eastAsia="方正仿宋_GBK" w:hAnsi="Times New Roman"/>
          <w:sz w:val="32"/>
          <w:szCs w:val="32"/>
        </w:rPr>
        <w:t>6</w:t>
      </w:r>
      <w:r>
        <w:rPr>
          <w:rFonts w:ascii="Times New Roman" w:eastAsia="方正仿宋_GBK" w:hAnsi="Times New Roman" w:hint="eastAsia"/>
          <w:sz w:val="32"/>
          <w:szCs w:val="32"/>
        </w:rPr>
        <w:t>次。持续提升</w:t>
      </w:r>
      <w:r>
        <w:rPr>
          <w:rFonts w:ascii="Times New Roman" w:eastAsia="方正仿宋_GBK" w:hAnsi="Times New Roman"/>
          <w:sz w:val="32"/>
          <w:szCs w:val="32"/>
        </w:rPr>
        <w:t>12360</w:t>
      </w:r>
      <w:r>
        <w:rPr>
          <w:rFonts w:ascii="Times New Roman" w:eastAsia="方正仿宋_GBK" w:hAnsi="Times New Roman" w:hint="eastAsia"/>
          <w:sz w:val="32"/>
          <w:szCs w:val="32"/>
        </w:rPr>
        <w:t>热线服务能力，加强设施设备维护，常态化开展话务员培训，全年接听热线电话</w:t>
      </w:r>
      <w:r>
        <w:rPr>
          <w:rFonts w:ascii="Times New Roman" w:eastAsia="方正仿宋_GBK" w:hAnsi="Times New Roman"/>
          <w:sz w:val="32"/>
          <w:szCs w:val="32"/>
        </w:rPr>
        <w:t>4970</w:t>
      </w:r>
      <w:r>
        <w:rPr>
          <w:rFonts w:ascii="Times New Roman" w:eastAsia="方正仿宋_GBK" w:hAnsi="Times New Roman" w:hint="eastAsia"/>
          <w:sz w:val="32"/>
          <w:szCs w:val="32"/>
        </w:rPr>
        <w:t>次，接通率达</w:t>
      </w:r>
      <w:r>
        <w:rPr>
          <w:rFonts w:ascii="Times New Roman" w:eastAsia="方正仿宋_GBK" w:hAnsi="Times New Roman"/>
          <w:sz w:val="32"/>
          <w:szCs w:val="32"/>
        </w:rPr>
        <w:t>99.12%</w:t>
      </w:r>
      <w:r>
        <w:rPr>
          <w:rFonts w:ascii="Times New Roman" w:eastAsia="方正仿宋_GBK" w:hAnsi="Times New Roman" w:hint="eastAsia"/>
          <w:sz w:val="32"/>
          <w:szCs w:val="32"/>
        </w:rPr>
        <w:t>。推进政务公开专区等线下平台建设，多元开展</w:t>
      </w:r>
      <w:r>
        <w:rPr>
          <w:rFonts w:ascii="Times New Roman" w:eastAsia="方正仿宋_GBK" w:hAnsi="Times New Roman" w:hint="eastAsia"/>
          <w:bCs/>
          <w:sz w:val="32"/>
          <w:szCs w:val="32"/>
          <w:lang w:val="zh-CN"/>
        </w:rPr>
        <w:t>政策宣传、信息查询、自助办理、业务咨询等服务，提高利企便民水平</w:t>
      </w:r>
      <w:r>
        <w:rPr>
          <w:rFonts w:ascii="Times New Roman" w:eastAsia="方正仿宋_GBK" w:hAnsi="Times New Roman" w:hint="eastAsia"/>
          <w:sz w:val="32"/>
          <w:szCs w:val="32"/>
          <w:lang w:val="zh-CN"/>
        </w:rPr>
        <w:t>。</w:t>
      </w:r>
    </w:p>
    <w:p>
      <w:pPr>
        <w:pStyle w:val="23"/>
        <w:shd w:val="clear" w:color="auto" w:fill="FFFFFF"/>
        <w:tabs>
          <w:tab w:val="center" w:pos="4153"/>
          <w:tab w:val="right" w:pos="8306"/>
        </w:tabs>
        <w:autoSpaceDN w:val="0"/>
        <w:spacing w:line="560" w:lineRule="exact"/>
        <w:ind w:firstLineChars="200" w:firstLine="640"/>
        <w:jc w:val="both"/>
        <w:rPr>
          <w:rFonts w:ascii="方正仿宋_GBK" w:hint="eastAsia"/>
          <w:sz w:val="32"/>
          <w:szCs w:val="32"/>
        </w:rPr>
      </w:pPr>
      <w:r>
        <w:rPr>
          <w:rFonts w:ascii="方正楷体_GBK" w:eastAsia="方正楷体_GBK" w:hint="eastAsia"/>
          <w:b/>
          <w:bCs/>
          <w:sz w:val="32"/>
          <w:szCs w:val="32"/>
        </w:rPr>
        <w:t>（四）扎实做好监督保障。</w:t>
      </w:r>
      <w:r>
        <w:rPr>
          <w:rFonts w:hint="eastAsia"/>
          <w:sz w:val="32"/>
          <w:szCs w:val="32"/>
        </w:rPr>
        <w:t>调整政府信息公开工作议事协调机构，召开专题会议对政府信息工作进行研究布置。组织关区各部门各单位政府信息公开岗位人员开展专题培训，通过法律法规解读、案例分析等方式，提升岗位人员业务能力。加强门户网站、新媒体日常巡检，防止出现表述错误、链接打不开、泄露个人隐私等现象，提升用户体验。深化政务公开标准化规范化建设，整理发布规范化表述、错敏字词等工作提示，经常性开展自查自纠，做到公开信息表述准确规范。</w:t>
      </w:r>
      <w:r>
        <w:rPr>
          <w:rFonts w:ascii="方正仿宋_GBK" w:hint="eastAsia"/>
          <w:sz w:val="32"/>
          <w:szCs w:val="32"/>
        </w:rPr>
        <w:t>严格落实公开期限相关要求，组织开展过期信息集中清理行动，方便企业群众快速获取所需信息，提高政府信息公开水平。定期维护自助查询机、自助打印机等便民设施，提供详细指引，不断提升政务服务事项便利度。</w:t>
      </w:r>
    </w:p>
    <w:p>
      <w:pPr>
        <w:pStyle w:val="24"/>
        <w:autoSpaceDN w:val="0"/>
        <w:adjustRightInd w:val="0"/>
        <w:snapToGrid w:val="0"/>
        <w:ind w:firstLineChars="200" w:firstLine="624"/>
        <w:rPr>
          <w:rFonts w:ascii="方正黑体_GBK" w:eastAsia="方正黑体_GBK" w:cs="楷体_GB2312" w:hint="eastAsia"/>
          <w:bCs/>
          <w:szCs w:val="32"/>
          <w:shd w:val="clear" w:color="auto" w:fill="FFFFFF"/>
          <w:lang w:bidi="ar-SA"/>
        </w:rPr>
      </w:pPr>
      <w:r>
        <w:rPr>
          <w:rFonts w:ascii="方正黑体_GBK" w:eastAsia="方正黑体_GBK" w:cs="楷体_GB2312" w:hint="eastAsia"/>
          <w:bCs/>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本年</w:t>
            </w:r>
            <w:r>
              <w:rPr>
                <w:rFonts w:hint="eastAsia"/>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本年废止件</w:t>
            </w:r>
            <w:r>
              <w:rPr>
                <w:rFonts w:hint="eastAsia"/>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5"/>
              <w:widowControl/>
              <w:autoSpaceDN w:val="0"/>
              <w:jc w:val="center"/>
              <w:rPr>
                <w:sz w:val="24"/>
                <w:szCs w:val="24"/>
              </w:rPr>
            </w:pPr>
            <w:r>
              <w:rPr>
                <w:rFonts w:ascii="宋体" w:cs="宋体" w:hint="eastAsia"/>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1</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7"/>
              <w:widowControl/>
              <w:autoSpaceDN w:val="0"/>
              <w:adjustRightInd w:val="0"/>
              <w:snapToGrid w:val="0"/>
              <w:spacing w:line="260" w:lineRule="exact"/>
              <w:jc w:val="center"/>
              <w:rPr>
                <w:sz w:val="24"/>
                <w:szCs w:val="24"/>
              </w:rPr>
            </w:pPr>
            <w:r>
              <w:rPr>
                <w:rFonts w:ascii="宋体" w:cs="宋体" w:hint="eastAsia"/>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autoSpaceDN w:val="0"/>
              <w:jc w:val="center"/>
              <w:rPr>
                <w:rFonts w:eastAsia="方正仿宋_GBK" w:cs="宋体"/>
                <w:sz w:val="24"/>
                <w:szCs w:val="24"/>
                <w:lang w:bidi="ar-SA"/>
              </w:rPr>
            </w:pPr>
            <w:r>
              <w:rPr>
                <w:rFonts w:eastAsia="方正仿宋_GBK" w:cs="宋体"/>
                <w:sz w:val="24"/>
                <w:szCs w:val="24"/>
                <w:lang w:bidi="ar-SA"/>
              </w:rPr>
              <w:t>235</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9"/>
              <w:widowControl/>
              <w:autoSpaceDN w:val="0"/>
              <w:adjustRightInd w:val="0"/>
              <w:snapToGrid w:val="0"/>
              <w:spacing w:line="260" w:lineRule="exact"/>
              <w:jc w:val="center"/>
              <w:rPr>
                <w:sz w:val="24"/>
                <w:szCs w:val="24"/>
              </w:rPr>
            </w:pPr>
            <w:r>
              <w:rPr>
                <w:rFonts w:ascii="宋体" w:cs="宋体" w:hint="eastAsia"/>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cs="宋体"/>
                <w:sz w:val="24"/>
                <w:szCs w:val="24"/>
                <w:lang w:bidi="ar-SA"/>
              </w:rPr>
            </w:pPr>
            <w:r>
              <w:rPr>
                <w:rFonts w:eastAsia="方正仿宋_GBK" w:cs="宋体"/>
                <w:sz w:val="24"/>
                <w:szCs w:val="24"/>
                <w:lang w:bidi="ar-SA"/>
              </w:rPr>
              <w:t>452</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30"/>
              <w:autoSpaceDN w:val="0"/>
              <w:jc w:val="center"/>
              <w:rPr>
                <w:rFonts w:eastAsia="方正仿宋_GBK" w:cs="宋体"/>
                <w:sz w:val="24"/>
                <w:szCs w:val="24"/>
                <w:lang w:bidi="ar-SA"/>
              </w:rPr>
            </w:pPr>
            <w:r>
              <w:rPr>
                <w:rFonts w:eastAsia="方正仿宋_GBK" w:cs="宋体"/>
                <w:sz w:val="24"/>
                <w:szCs w:val="24"/>
                <w:lang w:bidi="ar-SA"/>
              </w:rPr>
              <w:t>537</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rPr>
                <w:sz w:val="24"/>
                <w:szCs w:val="24"/>
              </w:rPr>
            </w:pPr>
            <w:r>
              <w:rPr>
                <w:rFonts w:ascii="宋体" w:cs="宋体" w:hint="eastAsia"/>
                <w:kern w:val="0"/>
                <w:sz w:val="24"/>
                <w:szCs w:val="24"/>
                <w:lang w:bidi="ar-SA"/>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31"/>
              <w:widowControl/>
              <w:autoSpaceDN w:val="0"/>
              <w:adjustRightInd w:val="0"/>
              <w:snapToGrid w:val="0"/>
              <w:spacing w:line="260" w:lineRule="exact"/>
              <w:jc w:val="center"/>
              <w:rPr>
                <w:sz w:val="24"/>
                <w:szCs w:val="24"/>
              </w:rPr>
            </w:pPr>
            <w:r>
              <w:rPr>
                <w:rFonts w:ascii="宋体" w:cs="宋体" w:hint="eastAsia"/>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adjustRightInd w:val="0"/>
              <w:snapToGrid w:val="0"/>
              <w:spacing w:line="260" w:lineRule="exact"/>
              <w:jc w:val="center"/>
            </w:pPr>
            <w:r>
              <w:rPr>
                <w:rFonts w:ascii="宋体" w:cs="宋体" w:hint="eastAsia"/>
                <w:kern w:val="0"/>
                <w:sz w:val="24"/>
                <w:szCs w:val="24"/>
                <w:lang w:bidi="ar-SA"/>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5"/>
              <w:autoSpaceDN w:val="0"/>
              <w:jc w:val="center"/>
              <w:rPr>
                <w:rFonts w:eastAsia="方正仿宋_GBK" w:cs="宋体"/>
                <w:sz w:val="24"/>
                <w:szCs w:val="24"/>
                <w:lang w:bidi="ar-SA"/>
              </w:rPr>
            </w:pPr>
            <w:r>
              <w:rPr>
                <w:rFonts w:eastAsia="方正仿宋_GBK" w:cs="宋体"/>
                <w:sz w:val="24"/>
                <w:szCs w:val="24"/>
                <w:lang w:bidi="ar-SA"/>
              </w:rPr>
              <w:t>0</w:t>
            </w:r>
          </w:p>
        </w:tc>
      </w:tr>
    </w:tbl>
    <w:p>
      <w:pPr>
        <w:pStyle w:val="32"/>
        <w:tabs>
          <w:tab w:val="center" w:pos="4153"/>
          <w:tab w:val="right" w:pos="8306"/>
        </w:tabs>
        <w:autoSpaceDN w:val="0"/>
        <w:rPr>
          <w:rFonts w:hint="eastAsia"/>
        </w:rPr>
      </w:pPr>
    </w:p>
    <w:p>
      <w:pPr>
        <w:pStyle w:val="17"/>
        <w:widowControl/>
        <w:shd w:val="clear" w:color="auto" w:fill="FFFFFF"/>
        <w:autoSpaceDN w:val="0"/>
        <w:adjustRightInd w:val="0"/>
        <w:snapToGrid w:val="0"/>
        <w:spacing w:before="0" w:beforeAutospacing="0" w:afterLines="50" w:after="156" w:afterAutospacing="0" w:line="560" w:lineRule="exact"/>
        <w:ind w:firstLineChars="200" w:firstLine="640"/>
        <w:jc w:val="both"/>
        <w:rPr>
          <w:rFonts w:ascii="方正黑体_GBK" w:eastAsia="方正黑体_GBK" w:cs="楷体_GB2312"/>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申请人情况</w:t>
            </w:r>
          </w:p>
        </w:tc>
      </w:tr>
      <w:tr>
        <w:trPr>
          <w:tblHeader/>
        </w:trPr>
        <w:tc>
          <w:tcPr>
            <w:tcW w:w="10578" w:type="dxa"/>
            <w:gridSpan w:val="3"/>
            <w:vMerge/>
            <w:tcBorders>
              <w:top w:val="single" w:sz="8" w:space="0" w:color="auto"/>
              <w:left w:val="single" w:sz="8" w:space="0" w:color="auto"/>
              <w:bottom w:val="single" w:sz="8" w:space="0" w:color="auto"/>
              <w:right w:val="single" w:sz="8" w:space="0" w:color="auto"/>
            </w:tcBorders>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rFonts w:eastAsia="宋体"/>
                <w:sz w:val="30"/>
                <w:szCs w:val="30"/>
              </w:rPr>
            </w:pPr>
            <w:r>
              <w:rPr>
                <w:rFonts w:ascii="宋体" w:cs="宋体" w:hint="eastAsia"/>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总计</w:t>
            </w:r>
          </w:p>
        </w:tc>
      </w:tr>
      <w:tr>
        <w:trPr>
          <w:trHeight w:val="649"/>
          <w:tblHeader/>
        </w:trPr>
        <w:tc>
          <w:tcPr>
            <w:tcW w:w="10578" w:type="dxa"/>
            <w:gridSpan w:val="3"/>
            <w:vMerge/>
            <w:tcBorders>
              <w:top w:val="single" w:sz="8" w:space="0" w:color="auto"/>
              <w:left w:val="single" w:sz="8" w:space="0" w:color="auto"/>
              <w:bottom w:val="single" w:sz="8" w:space="0" w:color="auto"/>
              <w:right w:val="single" w:sz="8" w:space="0" w:color="auto"/>
            </w:tcBorders>
            <w:vAlign w:val="center"/>
          </w:tcPr>
          <w:p/>
        </w:tc>
        <w:tc>
          <w:tcPr>
            <w:tcW w:w="4769" w:type="dxa"/>
            <w:vMerge/>
            <w:tcBorders>
              <w:top w:val="nil"/>
              <w:left w:val="nil"/>
              <w:bottom w:val="single" w:sz="8" w:space="0" w:color="auto"/>
              <w:right w:val="single" w:sz="8" w:space="0" w:color="auto"/>
            </w:tcBorders>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rFonts w:eastAsia="宋体"/>
                <w:sz w:val="30"/>
                <w:szCs w:val="30"/>
              </w:rPr>
            </w:pPr>
            <w:r>
              <w:rPr>
                <w:rFonts w:ascii="宋体" w:cs="宋体" w:hint="eastAsia"/>
                <w:kern w:val="0"/>
                <w:sz w:val="20"/>
                <w:szCs w:val="20"/>
                <w:lang w:bidi="ar-SA"/>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pPr>
            <w:r>
              <w:rPr>
                <w:rFonts w:ascii="宋体" w:cs="宋体" w:hint="eastAsia"/>
                <w:kern w:val="0"/>
                <w:sz w:val="20"/>
                <w:szCs w:val="20"/>
                <w:lang w:bidi="ar-SA"/>
              </w:rPr>
              <w:t>其他</w:t>
            </w:r>
          </w:p>
        </w:tc>
        <w:tc>
          <w:tcPr>
            <w:tcW w:w="682" w:type="dxa"/>
            <w:vMerge/>
            <w:tcBorders>
              <w:top w:val="single" w:sz="8" w:space="0" w:color="auto"/>
              <w:left w:val="nil"/>
              <w:bottom w:val="single" w:sz="8" w:space="0" w:color="auto"/>
              <w:right w:val="single" w:sz="8" w:space="0" w:color="auto"/>
            </w:tcBorders>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5"/>
              <w:widowControl/>
              <w:autoSpaceDN w:val="0"/>
              <w:jc w:val="left"/>
              <w:rPr>
                <w:sz w:val="24"/>
                <w:szCs w:val="24"/>
              </w:rPr>
            </w:pPr>
            <w:r>
              <w:rPr>
                <w:rFonts w:ascii="宋体" w:cs="宋体" w:hint="eastAsia"/>
                <w:kern w:val="0"/>
                <w:sz w:val="24"/>
                <w:szCs w:val="24"/>
                <w:lang w:bidi="ar-SA"/>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8</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5"/>
              <w:widowControl/>
              <w:autoSpaceDN w:val="0"/>
              <w:jc w:val="left"/>
              <w:rPr>
                <w:sz w:val="24"/>
                <w:szCs w:val="24"/>
              </w:rPr>
            </w:pPr>
            <w:r>
              <w:rPr>
                <w:rFonts w:ascii="宋体" w:cs="宋体" w:hint="eastAsia"/>
                <w:kern w:val="0"/>
                <w:sz w:val="24"/>
                <w:szCs w:val="24"/>
                <w:lang w:bidi="ar-SA"/>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left"/>
              <w:rPr>
                <w:sz w:val="24"/>
                <w:szCs w:val="24"/>
              </w:rPr>
            </w:pPr>
            <w:r>
              <w:rPr>
                <w:rFonts w:ascii="楷体" w:eastAsia="楷体" w:cs="楷体" w:hint="eastAsia"/>
                <w:kern w:val="0"/>
                <w:sz w:val="24"/>
                <w:szCs w:val="24"/>
                <w:lang w:bidi="ar-SA"/>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8</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left"/>
              <w:rPr>
                <w:sz w:val="24"/>
                <w:szCs w:val="24"/>
              </w:rPr>
            </w:pPr>
            <w:r>
              <w:rPr>
                <w:rFonts w:ascii="楷体" w:eastAsia="楷体" w:cs="楷体" w:hint="eastAsia"/>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rPr>
          <w:trHeight w:val="810"/>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（六）其他处理</w:t>
            </w:r>
          </w:p>
        </w:tc>
        <w:tc>
          <w:tcPr>
            <w:tcW w:w="2670" w:type="dxa"/>
            <w:tcBorders>
              <w:top w:val="nil"/>
              <w:left w:val="single" w:sz="8" w:space="0" w:color="auto"/>
              <w:bottom w:val="single" w:sz="8" w:space="0" w:color="auto"/>
              <w:right w:val="single" w:sz="8" w:space="0" w:color="auto"/>
            </w:tcBorders>
            <w:shd w:val="clear" w:color="auto" w:fill="auto"/>
          </w:tcPr>
          <w:p>
            <w:pPr>
              <w:pStyle w:val="25"/>
              <w:widowControl/>
              <w:autoSpaceDN w:val="0"/>
              <w:rPr>
                <w:rFonts w:ascii="楷体" w:eastAsia="楷体" w:cs="楷体"/>
                <w:kern w:val="0"/>
                <w:sz w:val="24"/>
                <w:szCs w:val="24"/>
                <w:lang w:bidi="ar-SA"/>
              </w:rPr>
            </w:pPr>
            <w:r>
              <w:rPr>
                <w:rFonts w:ascii="楷体"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5"/>
              <w:widowControl/>
              <w:autoSpaceDN w:val="0"/>
              <w:rPr>
                <w:rFonts w:ascii="楷体" w:eastAsia="楷体" w:cs="楷体"/>
                <w:kern w:val="0"/>
                <w:sz w:val="24"/>
                <w:szCs w:val="24"/>
                <w:lang w:bidi="ar-SA"/>
              </w:rPr>
            </w:pPr>
            <w:r>
              <w:rPr>
                <w:rFonts w:ascii="楷体"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5"/>
              <w:widowControl/>
              <w:autoSpaceDN w:val="0"/>
              <w:rPr>
                <w:rFonts w:ascii="楷体" w:eastAsia="楷体" w:cs="楷体"/>
                <w:kern w:val="0"/>
                <w:sz w:val="24"/>
                <w:szCs w:val="24"/>
                <w:lang w:bidi="ar-SA"/>
              </w:rPr>
            </w:pPr>
            <w:r>
              <w:rPr>
                <w:rFonts w:ascii="楷体"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r>
      <w:tr>
        <w:trPr>
          <w:trHeight w:val="567"/>
        </w:trPr>
        <w:tc>
          <w:tcPr>
            <w:tcW w:w="4302" w:type="dxa"/>
            <w:vMerge/>
            <w:tcBorders>
              <w:top w:val="nil"/>
              <w:left w:val="single" w:sz="8" w:space="0" w:color="auto"/>
              <w:bottom w:val="single" w:sz="8" w:space="0" w:color="auto"/>
              <w:right w:val="single" w:sz="8" w:space="0" w:color="auto"/>
            </w:tcBorders>
            <w:vAlign w:val="center"/>
          </w:tcPr>
          <w:p/>
        </w:tc>
        <w:tc>
          <w:tcPr>
            <w:tcW w:w="360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5"/>
              <w:widowControl/>
              <w:autoSpaceDN w:val="0"/>
              <w:rPr>
                <w:rFonts w:ascii="楷体" w:eastAsia="楷体" w:cs="楷体"/>
                <w:kern w:val="0"/>
                <w:sz w:val="24"/>
                <w:szCs w:val="24"/>
                <w:lang w:bidi="ar-SA"/>
              </w:rPr>
            </w:pPr>
            <w:r>
              <w:rPr>
                <w:rFonts w:ascii="楷体"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5"/>
              <w:autoSpaceDN w:val="0"/>
              <w:jc w:val="center"/>
              <w:rPr>
                <w:rFonts w:eastAsia="方正仿宋_GBK"/>
                <w:sz w:val="24"/>
                <w:szCs w:val="24"/>
              </w:rPr>
            </w:pPr>
            <w:r>
              <w:rPr>
                <w:rFonts w:eastAsia="方正仿宋_GBK"/>
                <w:sz w:val="24"/>
                <w:szCs w:val="24"/>
              </w:rPr>
              <w:t>0</w:t>
            </w:r>
          </w:p>
        </w:tc>
      </w:tr>
      <w:tr>
        <w:tc>
          <w:tcPr>
            <w:tcW w:w="4302" w:type="dxa"/>
            <w:vMerge/>
            <w:tcBorders>
              <w:top w:val="nil"/>
              <w:left w:val="single" w:sz="8" w:space="0" w:color="auto"/>
              <w:bottom w:val="single" w:sz="8" w:space="0" w:color="auto"/>
              <w:right w:val="single" w:sz="8" w:space="0" w:color="auto"/>
            </w:tcBorders>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rPr>
                <w:sz w:val="24"/>
                <w:szCs w:val="24"/>
              </w:rPr>
            </w:pPr>
            <w:r>
              <w:rPr>
                <w:rFonts w:ascii="楷体" w:eastAsia="楷体" w:cs="楷体" w:hint="eastAsia"/>
                <w:kern w:val="0"/>
                <w:sz w:val="24"/>
                <w:szCs w:val="24"/>
                <w:lang w:bidi="ar-SA"/>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8</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8</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jc w:val="left"/>
            </w:pPr>
            <w:r>
              <w:rPr>
                <w:rFonts w:ascii="宋体" w:cs="宋体" w:hint="eastAsia"/>
                <w:kern w:val="0"/>
                <w:sz w:val="24"/>
                <w:szCs w:val="24"/>
                <w:lang w:bidi="ar-SA"/>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autoSpaceDN w:val="0"/>
              <w:jc w:val="center"/>
              <w:rPr>
                <w:rFonts w:eastAsia="方正仿宋_GBK"/>
                <w:sz w:val="24"/>
                <w:szCs w:val="24"/>
              </w:rPr>
            </w:pPr>
            <w:r>
              <w:rPr>
                <w:rFonts w:eastAsia="方正仿宋_GBK"/>
                <w:sz w:val="24"/>
                <w:szCs w:val="24"/>
              </w:rPr>
              <w:t>0</w:t>
            </w:r>
          </w:p>
        </w:tc>
      </w:tr>
    </w:tbl>
    <w:p>
      <w:pPr>
        <w:pStyle w:val="17"/>
        <w:widowControl/>
        <w:shd w:val="clear" w:color="auto" w:fill="FFFFFF"/>
        <w:autoSpaceDN w:val="0"/>
        <w:spacing w:beforeLines="50" w:before="156" w:beforeAutospacing="0" w:after="120" w:afterAutospacing="0"/>
        <w:ind w:firstLineChars="200" w:firstLine="640"/>
        <w:jc w:val="both"/>
        <w:rPr>
          <w:rFonts w:ascii="宋体" w:cs="宋体" w:hint="eastAsia"/>
          <w:szCs w:val="24"/>
          <w:lang w:bidi="ar-SA"/>
        </w:rPr>
      </w:pPr>
      <w:r>
        <w:rPr>
          <w:rFonts w:ascii="方正黑体_GBK" w:eastAsia="方正黑体_GBK" w:cs="楷体_GB2312" w:hint="eastAsia"/>
          <w:bCs/>
          <w:sz w:val="32"/>
          <w:szCs w:val="32"/>
          <w:shd w:val="clear" w:color="auto" w:fill="FFFFFF"/>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复议后起诉</w:t>
            </w:r>
          </w:p>
        </w:tc>
      </w:tr>
      <w:tr>
        <w:tc>
          <w:tcPr>
            <w:tcW w:w="3074" w:type="dxa"/>
            <w:vMerge/>
            <w:tcBorders>
              <w:top w:val="nil"/>
              <w:left w:val="single" w:sz="8" w:space="0" w:color="auto"/>
              <w:bottom w:val="single" w:sz="8" w:space="0" w:color="auto"/>
              <w:right w:val="single" w:sz="8" w:space="0" w:color="auto"/>
            </w:tcBorders>
            <w:vAlign w:val="center"/>
          </w:tcPr>
          <w:p/>
        </w:tc>
        <w:tc>
          <w:tcPr>
            <w:tcW w:w="604" w:type="dxa"/>
            <w:vMerge/>
            <w:tcBorders>
              <w:top w:val="nil"/>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04" w:type="dxa"/>
            <w:vMerge/>
            <w:tcBorders>
              <w:top w:val="single" w:sz="8" w:space="0" w:color="auto"/>
              <w:left w:val="nil"/>
              <w:bottom w:val="single" w:sz="8" w:space="0" w:color="auto"/>
              <w:right w:val="single" w:sz="8" w:space="0" w:color="auto"/>
            </w:tcBorders>
            <w:vAlign w:val="center"/>
          </w:tcPr>
          <w:p/>
        </w:tc>
        <w:tc>
          <w:tcPr>
            <w:tcW w:w="658" w:type="dxa"/>
            <w:vMerge/>
            <w:tcBorders>
              <w:top w:val="single" w:sz="8" w:space="0" w:color="auto"/>
              <w:left w:val="nil"/>
              <w:bottom w:val="single" w:sz="8" w:space="0" w:color="auto"/>
              <w:right w:val="single" w:sz="8" w:space="0" w:color="auto"/>
            </w:tcBorders>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4"/>
                <w:szCs w:val="24"/>
              </w:rPr>
            </w:pPr>
            <w:r>
              <w:rPr>
                <w:rFonts w:ascii="宋体" w:cs="宋体" w:hint="eastAsia"/>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sz w:val="28"/>
                <w:szCs w:val="28"/>
              </w:rPr>
            </w:pPr>
            <w:r>
              <w:rPr>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
              <w:widowControl/>
              <w:autoSpaceDN w:val="0"/>
              <w:jc w:val="center"/>
              <w:rPr>
                <w:kern w:val="0"/>
                <w:sz w:val="28"/>
                <w:szCs w:val="28"/>
              </w:rPr>
            </w:pPr>
            <w:r>
              <w:rPr>
                <w:kern w:val="0"/>
                <w:sz w:val="28"/>
                <w:szCs w:val="28"/>
              </w:rPr>
              <w:t>0</w:t>
            </w:r>
          </w:p>
        </w:tc>
      </w:tr>
    </w:tbl>
    <w:p>
      <w:pPr>
        <w:pStyle w:val="17"/>
        <w:widowControl/>
        <w:shd w:val="clear" w:color="auto" w:fill="FFFFFF"/>
        <w:autoSpaceDN w:val="0"/>
        <w:spacing w:beforeLines="50" w:before="156" w:beforeAutospacing="0" w:after="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五、存在的主要问题及改进情况</w:t>
      </w:r>
    </w:p>
    <w:p>
      <w:pPr>
        <w:pStyle w:val="33"/>
        <w:autoSpaceDN w:val="0"/>
        <w:adjustRightInd w:val="0"/>
        <w:snapToGrid w:val="0"/>
        <w:ind w:firstLineChars="200" w:firstLine="624"/>
        <w:rPr>
          <w:rFonts w:ascii="方正楷体_GBK" w:eastAsia="方正楷体_GBK" w:hint="eastAsia"/>
          <w:b/>
          <w:bCs/>
          <w:szCs w:val="32"/>
        </w:rPr>
      </w:pPr>
      <w:r>
        <w:rPr>
          <w:rFonts w:ascii="方正楷体_GBK" w:eastAsia="方正楷体_GBK" w:hint="eastAsia"/>
          <w:b/>
          <w:bCs/>
          <w:szCs w:val="32"/>
        </w:rPr>
        <w:t>（一）2023年年报中所提问题整改情况。</w:t>
      </w:r>
    </w:p>
    <w:p>
      <w:pPr>
        <w:pStyle w:val="34"/>
        <w:autoSpaceDN w:val="0"/>
        <w:adjustRightInd w:val="0"/>
        <w:snapToGrid w:val="0"/>
        <w:ind w:firstLineChars="200" w:firstLine="624"/>
        <w:rPr>
          <w:rFonts w:ascii="方正仿宋_GBK" w:hint="eastAsia"/>
          <w:szCs w:val="32"/>
        </w:rPr>
      </w:pPr>
      <w:r>
        <w:rPr>
          <w:rFonts w:hint="eastAsia"/>
          <w:szCs w:val="32"/>
        </w:rPr>
        <w:t>针对</w:t>
      </w:r>
      <w:r>
        <w:rPr>
          <w:rFonts w:ascii="方正仿宋_GBK" w:hint="eastAsia"/>
          <w:bCs/>
          <w:szCs w:val="32"/>
        </w:rPr>
        <w:t>政府信息公开申请办理能力不足的问题，</w:t>
      </w:r>
      <w:r>
        <w:rPr>
          <w:szCs w:val="32"/>
        </w:rPr>
        <w:t>2024</w:t>
      </w:r>
      <w:r>
        <w:rPr>
          <w:rFonts w:hint="eastAsia"/>
          <w:szCs w:val="32"/>
        </w:rPr>
        <w:t>年组织开展了专题培训，通过解读相关法律法规、开展案例分析等，提升岗位人员依法准确办理政府信息公开申请事项的意识和能力。</w:t>
      </w:r>
    </w:p>
    <w:p>
      <w:pPr>
        <w:pStyle w:val="35"/>
        <w:autoSpaceDN w:val="0"/>
        <w:adjustRightInd w:val="0"/>
        <w:snapToGrid w:val="0"/>
        <w:ind w:firstLineChars="200" w:firstLine="624"/>
        <w:rPr>
          <w:rFonts w:ascii="方正楷体_GBK" w:eastAsia="方正楷体_GBK" w:hint="eastAsia"/>
          <w:b/>
          <w:bCs/>
          <w:szCs w:val="32"/>
        </w:rPr>
      </w:pPr>
      <w:r>
        <w:rPr>
          <w:rFonts w:ascii="方正楷体_GBK" w:eastAsia="方正楷体_GBK" w:hint="eastAsia"/>
          <w:b/>
          <w:bCs/>
          <w:szCs w:val="32"/>
        </w:rPr>
        <w:t>（二）目前存在问题。</w:t>
      </w:r>
    </w:p>
    <w:p>
      <w:pPr>
        <w:pStyle w:val="36"/>
        <w:autoSpaceDN w:val="0"/>
        <w:adjustRightInd w:val="0"/>
        <w:snapToGrid w:val="0"/>
        <w:ind w:firstLineChars="200" w:firstLine="624"/>
        <w:rPr>
          <w:rFonts w:hint="eastAsia"/>
          <w:szCs w:val="32"/>
        </w:rPr>
      </w:pPr>
      <w:r>
        <w:rPr>
          <w:rFonts w:ascii="方正仿宋_GBK" w:hint="eastAsia"/>
          <w:szCs w:val="32"/>
        </w:rPr>
        <w:t>政府信息公开队伍稳定性、专业性有所欠缺，部分岗位人员和一线工作人员对政府信息公开有关要求学习掌握不够；政策解读深度、广度、精准度有待进一步提升</w:t>
      </w:r>
      <w:r>
        <w:rPr>
          <w:rFonts w:hint="eastAsia"/>
          <w:szCs w:val="32"/>
        </w:rPr>
        <w:t>。</w:t>
      </w:r>
    </w:p>
    <w:p>
      <w:pPr>
        <w:pStyle w:val="17"/>
        <w:widowControl/>
        <w:shd w:val="clear" w:color="auto" w:fill="FFFFFF"/>
        <w:autoSpaceDN w:val="0"/>
        <w:spacing w:before="0" w:beforeAutospacing="0" w:after="0" w:afterAutospacing="0" w:line="560" w:lineRule="exact"/>
        <w:ind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六、其他需要报告的事项</w:t>
      </w:r>
    </w:p>
    <w:p>
      <w:pPr>
        <w:pStyle w:val="37"/>
        <w:autoSpaceDN w:val="0"/>
        <w:adjustRightInd w:val="0"/>
        <w:snapToGrid w:val="0"/>
        <w:ind w:firstLineChars="200" w:firstLine="624"/>
        <w:rPr>
          <w:szCs w:val="32"/>
        </w:rPr>
      </w:pPr>
      <w:r>
        <w:rPr>
          <w:szCs w:val="32"/>
        </w:rPr>
        <w:t>2024年关区无政府信息公开收费情况</w:t>
      </w:r>
      <w:r>
        <w:rPr>
          <w:rFonts w:hint="eastAsia"/>
          <w:szCs w:val="32"/>
        </w:rPr>
        <w:t>。</w:t>
      </w:r>
    </w:p>
    <w:sectPr>
      <w:footerReference w:type="default" r:id="rId2"/>
      <w:footerReference w:type="even" r:id="rId3"/>
      <w:pgSz w:w="11906" w:h="16838"/>
      <w:pgMar w:top="1440" w:right="1800" w:bottom="1440" w:left="1800"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86"/>
    <w:family w:val="roma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ind w:firstLineChars="100" w:firstLine="280"/>
      <w:rPr>
        <w:rFonts w:ascii="宋体" w:hint="eastAsia"/>
        <w:sz w:val="28"/>
        <w:szCs w:val="28"/>
      </w:rPr>
    </w:pPr>
    <w:r>
      <w:rPr>
        <w:rStyle w:val="57"/>
        <w:rFonts w:ascii="宋体" w:hint="eastAsia"/>
        <w:sz w:val="28"/>
        <w:szCs w:val="28"/>
      </w:rPr>
      <w:fldChar w:fldCharType="begin"/>
    </w:r>
    <w:r>
      <w:rPr>
        <w:rStyle w:val="57"/>
        <w:rFonts w:ascii="宋体" w:hint="eastAsia"/>
        <w:sz w:val="28"/>
        <w:szCs w:val="28"/>
      </w:rPr>
      <w:instrText>Page</w:instrText>
    </w:r>
    <w:r>
      <w:rPr>
        <w:rStyle w:val="57"/>
        <w:rFonts w:ascii="宋体" w:hint="eastAsia"/>
        <w:sz w:val="28"/>
        <w:szCs w:val="28"/>
      </w:rPr>
      <w:fldChar w:fldCharType="separate"/>
    </w:r>
    <w:r>
      <w:rPr>
        <w:rStyle w:val="57"/>
        <w:rFonts w:ascii="宋体" w:hint="eastAsia"/>
        <w:sz w:val="28"/>
        <w:szCs w:val="28"/>
      </w:rPr>
      <w:t>- 1 -</w:t>
    </w:r>
    <w:r>
      <w:rPr>
        <w:rStyle w:val="57"/>
        <w:rFonts w:ascii="宋体" w:hint="eastAsia"/>
        <w:sz w:val="28"/>
        <w:szCs w:val="28"/>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- 1 -</w:t>
    </w:r>
    <w:r>
      <w:rPr>
        <w:rStyle w:val="57"/>
      </w:rPr>
      <w:fldChar w:fldCharType="end"/>
    </w:r>
  </w:p>
  <w:p>
    <w:pPr>
      <w:pStyle w:val="16"/>
      <w:tabs>
        <w:tab w:val="center" w:pos="4153"/>
        <w:tab w:val="right" w:pos="8306"/>
      </w:tabs>
      <w:ind w:right="36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24"/>
  <w:doNotDisplayPageBoundaries/>
  <w:bordersDoNotSurroundHeader/>
  <w:bordersDoNotSurroundFooter/>
  <w:trackRevisions/>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mn-Mong-CN"/>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rFonts w:ascii="Calibri" w:eastAsia="宋体" w:cs="Arial" w:hAnsi="Calibri"/>
      <w:sz w:val="18"/>
    </w:rPr>
  </w:style>
  <w:style w:type="paragraph" w:styleId="16">
    <w:name w:val="footer"/>
    <w:basedOn w:val="0"/>
    <w:pPr>
      <w:tabs>
        <w:tab w:val="center" w:pos="4153"/>
        <w:tab w:val="right" w:pos="8306"/>
      </w:tabs>
      <w:snapToGrid w:val="0"/>
      <w:jc w:val="left"/>
    </w:pPr>
    <w:rPr>
      <w:rFonts w:ascii="Calibri" w:eastAsia="宋体" w:cs="Arial" w:hAnsi="Calibri"/>
      <w:sz w:val="18"/>
    </w:rPr>
  </w:style>
  <w:style w:type="paragraph" w:styleId="17">
    <w:name w:val="Normal (Web)"/>
    <w:basedOn w:val="0"/>
    <w:pPr>
      <w:spacing w:before="100" w:beforeAutospacing="1" w:after="100" w:afterAutospacing="1"/>
      <w:jc w:val="left"/>
    </w:pPr>
    <w:rPr>
      <w:rFonts w:eastAsia="宋体"/>
      <w:kern w:val="0"/>
      <w:sz w:val="24"/>
      <w:szCs w:val="30"/>
    </w:rPr>
  </w:style>
  <w:style w:type="paragraph" w:customStyle="1" w:styleId="18">
    <w:name w:val="样式 6 三号"/>
    <w:next w:val="38"/>
    <w:pPr>
      <w:widowControl w:val="0"/>
      <w:spacing w:line="560" w:lineRule="exact"/>
      <w:jc w:val="both"/>
    </w:pPr>
    <w:rPr>
      <w:rFonts w:ascii="Times New Roman" w:eastAsia="方正仿宋_GBK" w:cs="Times New Roman" w:hAnsi="Times New Roman"/>
      <w:spacing w:val="-4"/>
      <w:kern w:val="2"/>
      <w:sz w:val="32"/>
      <w:szCs w:val="28"/>
      <w:lang w:val="en-US" w:eastAsia="zh-CN" w:bidi="mn-Mong-CN"/>
    </w:rPr>
  </w:style>
  <w:style w:type="paragraph" w:customStyle="1" w:styleId="19">
    <w:name w:val="样式 1 小四"/>
    <w:next w:val="39"/>
    <w:pPr>
      <w:widowControl w:val="0"/>
    </w:pPr>
    <w:rPr>
      <w:rFonts w:ascii="宋体" w:eastAsia="宋体" w:cs="Times New Roman"/>
      <w:kern w:val="2"/>
      <w:sz w:val="24"/>
      <w:szCs w:val="20"/>
      <w:lang w:val="en-US" w:eastAsia="zh-CN" w:bidi="mn-Mong-CN"/>
    </w:rPr>
  </w:style>
  <w:style w:type="paragraph" w:customStyle="1" w:styleId="20">
    <w:name w:val="样式 3 小四"/>
    <w:next w:val="40"/>
    <w:pPr>
      <w:widowControl w:val="0"/>
    </w:pPr>
    <w:rPr>
      <w:rFonts w:ascii="宋体" w:eastAsia="宋体" w:cs="Times New Roman"/>
      <w:kern w:val="2"/>
      <w:sz w:val="24"/>
      <w:szCs w:val="20"/>
      <w:lang w:val="en-US" w:eastAsia="zh-CN" w:bidi="mn-Mong-CN"/>
    </w:rPr>
  </w:style>
  <w:style w:type="paragraph" w:customStyle="1" w:styleId="21">
    <w:name w:val="样式 1 10 磅"/>
    <w:next w:val="41"/>
    <w:pPr>
      <w:widowControl w:val="0"/>
      <w:jc w:val="both"/>
    </w:pPr>
    <w:rPr>
      <w:rFonts w:ascii="Calibri" w:eastAsia="宋体" w:cs="Times New Roman" w:hAnsi="Calibri"/>
      <w:kern w:val="2"/>
      <w:sz w:val="21"/>
      <w:szCs w:val="22"/>
      <w:lang w:val="en-US" w:eastAsia="zh-CN" w:bidi="mn-Mong-CN"/>
    </w:rPr>
  </w:style>
  <w:style w:type="paragraph" w:customStyle="1" w:styleId="22">
    <w:name w:val="样式 10 磅"/>
    <w:next w:val="42"/>
    <w:pPr>
      <w:widowControl w:val="0"/>
      <w:jc w:val="both"/>
    </w:pPr>
    <w:rPr>
      <w:rFonts w:ascii="Calibri" w:eastAsia="宋体" w:cs="Times New Roman" w:hAnsi="Calibri"/>
      <w:kern w:val="2"/>
      <w:sz w:val="21"/>
      <w:szCs w:val="22"/>
      <w:lang w:val="en-US" w:eastAsia="zh-CN" w:bidi="mn-Mong-CN"/>
    </w:rPr>
  </w:style>
  <w:style w:type="paragraph" w:customStyle="1" w:styleId="23">
    <w:name w:val="样式 1 小五"/>
    <w:next w:val="43"/>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mn-Mong-CN"/>
    </w:rPr>
  </w:style>
  <w:style w:type="paragraph" w:customStyle="1" w:styleId="24">
    <w:name w:val="样式 50 三号"/>
    <w:next w:val="44"/>
    <w:pPr>
      <w:widowControl w:val="0"/>
      <w:spacing w:line="560" w:lineRule="exact"/>
      <w:jc w:val="both"/>
    </w:pPr>
    <w:rPr>
      <w:rFonts w:ascii="Times New Roman" w:eastAsia="方正仿宋_GBK" w:cs="Times New Roman" w:hAnsi="Times New Roman"/>
      <w:spacing w:val="-4"/>
      <w:kern w:val="2"/>
      <w:sz w:val="32"/>
      <w:szCs w:val="28"/>
      <w:lang w:val="en-US" w:eastAsia="zh-CN" w:bidi="mn-Mong-CN"/>
    </w:rPr>
  </w:style>
  <w:style w:type="paragraph" w:customStyle="1" w:styleId="25">
    <w:name w:val="样式 小三"/>
    <w:next w:val="45"/>
    <w:pPr>
      <w:widowControl w:val="0"/>
      <w:jc w:val="both"/>
    </w:pPr>
    <w:rPr>
      <w:rFonts w:ascii="Times New Roman" w:eastAsia="宋体" w:cs="Times New Roman" w:hAnsi="Times New Roman"/>
      <w:kern w:val="2"/>
      <w:sz w:val="30"/>
      <w:szCs w:val="30"/>
      <w:lang w:val="en-US" w:eastAsia="zh-CN" w:bidi="mn-Mong-CN"/>
    </w:rPr>
  </w:style>
  <w:style w:type="paragraph" w:customStyle="1" w:styleId="26">
    <w:name w:val="样式 三号"/>
    <w:next w:val="15"/>
    <w:pPr>
      <w:widowControl w:val="0"/>
      <w:jc w:val="both"/>
    </w:pPr>
    <w:rPr>
      <w:rFonts w:ascii="Times New Roman" w:eastAsia="方正仿宋_GBK" w:cs="Times New Roman" w:hAnsi="Times New Roman"/>
      <w:kern w:val="2"/>
      <w:sz w:val="32"/>
      <w:szCs w:val="22"/>
      <w:lang w:val="en-US" w:eastAsia="zh-CN" w:bidi="mn-Mong-CN"/>
    </w:rPr>
  </w:style>
  <w:style w:type="paragraph" w:customStyle="1" w:styleId="27">
    <w:name w:val="样式 5 小三"/>
    <w:next w:val="46"/>
    <w:pPr>
      <w:widowControl w:val="0"/>
      <w:jc w:val="both"/>
    </w:pPr>
    <w:rPr>
      <w:rFonts w:ascii="Times New Roman" w:eastAsia="宋体" w:cs="Times New Roman" w:hAnsi="Times New Roman"/>
      <w:kern w:val="2"/>
      <w:sz w:val="30"/>
      <w:szCs w:val="30"/>
      <w:lang w:val="en-US" w:eastAsia="zh-CN" w:bidi="mn-Mong-CN"/>
    </w:rPr>
  </w:style>
  <w:style w:type="paragraph" w:customStyle="1" w:styleId="28">
    <w:name w:val="样式 16 小三"/>
    <w:next w:val="47"/>
    <w:pPr>
      <w:widowControl w:val="0"/>
      <w:jc w:val="both"/>
    </w:pPr>
    <w:rPr>
      <w:rFonts w:ascii="Times New Roman" w:eastAsia="宋体" w:cs="Times New Roman" w:hAnsi="Times New Roman"/>
      <w:kern w:val="2"/>
      <w:sz w:val="30"/>
      <w:szCs w:val="30"/>
      <w:lang w:val="en-US" w:eastAsia="zh-CN" w:bidi="mn-Mong-CN"/>
    </w:rPr>
  </w:style>
  <w:style w:type="paragraph" w:customStyle="1" w:styleId="29">
    <w:name w:val="样式 8 小三"/>
    <w:next w:val="48"/>
    <w:pPr>
      <w:widowControl w:val="0"/>
      <w:jc w:val="both"/>
    </w:pPr>
    <w:rPr>
      <w:rFonts w:ascii="Times New Roman" w:eastAsia="宋体" w:cs="Times New Roman" w:hAnsi="Times New Roman"/>
      <w:kern w:val="2"/>
      <w:sz w:val="30"/>
      <w:szCs w:val="30"/>
      <w:lang w:val="en-US" w:eastAsia="zh-CN" w:bidi="mn-Mong-CN"/>
    </w:rPr>
  </w:style>
  <w:style w:type="paragraph" w:customStyle="1" w:styleId="30">
    <w:name w:val="样式 17 小三"/>
    <w:next w:val="49"/>
    <w:pPr>
      <w:widowControl w:val="0"/>
      <w:jc w:val="both"/>
    </w:pPr>
    <w:rPr>
      <w:rFonts w:ascii="Times New Roman" w:eastAsia="宋体" w:cs="Times New Roman" w:hAnsi="Times New Roman"/>
      <w:kern w:val="2"/>
      <w:sz w:val="30"/>
      <w:szCs w:val="30"/>
      <w:lang w:val="en-US" w:eastAsia="zh-CN" w:bidi="mn-Mong-CN"/>
    </w:rPr>
  </w:style>
  <w:style w:type="paragraph" w:customStyle="1" w:styleId="31">
    <w:name w:val="样式 12 小三"/>
    <w:next w:val="50"/>
    <w:pPr>
      <w:widowControl w:val="0"/>
      <w:jc w:val="both"/>
    </w:pPr>
    <w:rPr>
      <w:rFonts w:ascii="Times New Roman" w:eastAsia="宋体" w:cs="Times New Roman" w:hAnsi="Times New Roman"/>
      <w:kern w:val="2"/>
      <w:sz w:val="30"/>
      <w:szCs w:val="30"/>
      <w:lang w:val="en-US" w:eastAsia="zh-CN" w:bidi="mn-Mong-CN"/>
    </w:rPr>
  </w:style>
  <w:style w:type="paragraph" w:customStyle="1" w:styleId="32">
    <w:name w:val="样式 小五"/>
    <w:next w:val="15"/>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mn-Mong-CN"/>
    </w:rPr>
  </w:style>
  <w:style w:type="paragraph" w:customStyle="1" w:styleId="33">
    <w:name w:val="样式 8 三号"/>
    <w:next w:val="51"/>
    <w:pPr>
      <w:widowControl w:val="0"/>
      <w:spacing w:line="560" w:lineRule="exact"/>
      <w:jc w:val="both"/>
    </w:pPr>
    <w:rPr>
      <w:rFonts w:ascii="Times New Roman" w:eastAsia="方正仿宋_GBK" w:cs="Times New Roman" w:hAnsi="Times New Roman"/>
      <w:spacing w:val="-4"/>
      <w:kern w:val="2"/>
      <w:sz w:val="32"/>
      <w:szCs w:val="28"/>
      <w:lang w:val="en-US" w:eastAsia="zh-CN" w:bidi="mn-Mong-CN"/>
    </w:rPr>
  </w:style>
  <w:style w:type="paragraph" w:customStyle="1" w:styleId="34">
    <w:name w:val="样式 3 三号"/>
    <w:next w:val="52"/>
    <w:pPr>
      <w:widowControl w:val="0"/>
      <w:spacing w:line="560" w:lineRule="exact"/>
      <w:jc w:val="both"/>
    </w:pPr>
    <w:rPr>
      <w:rFonts w:ascii="Times New Roman" w:eastAsia="方正仿宋_GBK" w:cs="Times New Roman" w:hAnsi="Times New Roman"/>
      <w:spacing w:val="-4"/>
      <w:kern w:val="2"/>
      <w:sz w:val="32"/>
      <w:szCs w:val="28"/>
      <w:lang w:val="en-US" w:eastAsia="zh-CN" w:bidi="mn-Mong-CN"/>
    </w:rPr>
  </w:style>
  <w:style w:type="paragraph" w:customStyle="1" w:styleId="35">
    <w:name w:val="样式 13 三号"/>
    <w:next w:val="53"/>
    <w:pPr>
      <w:widowControl w:val="0"/>
      <w:spacing w:line="560" w:lineRule="exact"/>
      <w:jc w:val="both"/>
    </w:pPr>
    <w:rPr>
      <w:rFonts w:ascii="Times New Roman" w:eastAsia="方正仿宋_GBK" w:cs="Times New Roman" w:hAnsi="Times New Roman"/>
      <w:spacing w:val="-4"/>
      <w:kern w:val="2"/>
      <w:sz w:val="32"/>
      <w:szCs w:val="28"/>
      <w:lang w:val="en-US" w:eastAsia="zh-CN" w:bidi="mn-Mong-CN"/>
    </w:rPr>
  </w:style>
  <w:style w:type="paragraph" w:customStyle="1" w:styleId="36">
    <w:name w:val="样式 16 三号"/>
    <w:next w:val="54"/>
    <w:pPr>
      <w:widowControl w:val="0"/>
      <w:spacing w:line="560" w:lineRule="exact"/>
      <w:jc w:val="both"/>
    </w:pPr>
    <w:rPr>
      <w:rFonts w:ascii="Times New Roman" w:eastAsia="方正仿宋_GBK" w:cs="Times New Roman" w:hAnsi="Times New Roman"/>
      <w:spacing w:val="-4"/>
      <w:kern w:val="2"/>
      <w:sz w:val="32"/>
      <w:szCs w:val="20"/>
      <w:lang w:val="en-US" w:eastAsia="zh-CN" w:bidi="mn-Mong-CN"/>
    </w:rPr>
  </w:style>
  <w:style w:type="paragraph" w:customStyle="1" w:styleId="37">
    <w:name w:val="样式 7 三号"/>
    <w:next w:val="55"/>
    <w:pPr>
      <w:widowControl w:val="0"/>
      <w:spacing w:line="560" w:lineRule="exact"/>
      <w:jc w:val="both"/>
    </w:pPr>
    <w:rPr>
      <w:rFonts w:ascii="Times New Roman" w:eastAsia="方正仿宋_GBK" w:cs="Times New Roman" w:hAnsi="Times New Roman"/>
      <w:spacing w:val="-4"/>
      <w:kern w:val="2"/>
      <w:sz w:val="32"/>
      <w:szCs w:val="28"/>
      <w:lang w:val="en-US" w:eastAsia="zh-CN" w:bidi="mn-Mong-CN"/>
    </w:rPr>
  </w:style>
  <w:style w:type="paragraph" w:styleId="38">
    <w:name w:val="toc 3"/>
    <w:basedOn w:val="0"/>
    <w:autoRedefine/>
    <w:next w:val="0"/>
    <w:pPr>
      <w:ind w:leftChars="400" w:left="400"/>
    </w:pPr>
  </w:style>
  <w:style w:type="paragraph" w:styleId="39">
    <w:name w:val="index 5"/>
    <w:basedOn w:val="0"/>
    <w:autoRedefine/>
    <w:next w:val="0"/>
    <w:pPr>
      <w:ind w:leftChars="800" w:left="800"/>
    </w:pPr>
  </w:style>
  <w:style w:type="paragraph" w:styleId="40">
    <w:name w:val="List Continue 2"/>
    <w:basedOn w:val="0"/>
    <w:pPr>
      <w:spacing w:after="120"/>
      <w:ind w:leftChars="400" w:left="400"/>
      <w:contextualSpacing/>
    </w:pPr>
  </w:style>
  <w:style w:type="paragraph" w:styleId="41">
    <w:name w:val="footnote text"/>
    <w:basedOn w:val="0"/>
    <w:pPr>
      <w:snapToGrid w:val="0"/>
      <w:jc w:val="left"/>
    </w:pPr>
    <w:rPr>
      <w:sz w:val="18"/>
    </w:rPr>
  </w:style>
  <w:style w:type="paragraph" w:styleId="42">
    <w:name w:val="List 3"/>
    <w:basedOn w:val="0"/>
    <w:pPr>
      <w:ind w:leftChars="400" w:left="600" w:hangingChars="200" w:hanging="200"/>
      <w:contextualSpacing/>
    </w:pPr>
  </w:style>
  <w:style w:type="paragraph" w:styleId="43">
    <w:name w:val="List Number 2"/>
    <w:basedOn w:val="0"/>
    <w:pPr>
      <w:tabs>
        <w:tab w:val="clear" w:pos="360"/>
        <w:tab w:val="left" w:pos="780"/>
      </w:tabs>
      <w:ind w:leftChars="200" w:left="400" w:hangingChars="200" w:hanging="200"/>
      <w:contextualSpacing/>
    </w:pPr>
  </w:style>
  <w:style w:type="paragraph" w:styleId="44">
    <w:name w:val="index 6"/>
    <w:basedOn w:val="0"/>
    <w:autoRedefine/>
    <w:next w:val="0"/>
    <w:pPr>
      <w:ind w:leftChars="1000" w:left="1000"/>
    </w:pPr>
  </w:style>
  <w:style w:type="paragraph" w:styleId="45">
    <w:name w:val="index 8"/>
    <w:basedOn w:val="0"/>
    <w:autoRedefine/>
    <w:next w:val="0"/>
    <w:pPr>
      <w:ind w:leftChars="1400" w:left="1400"/>
    </w:pPr>
  </w:style>
  <w:style w:type="paragraph" w:styleId="46">
    <w:name w:val="toc 6"/>
    <w:basedOn w:val="0"/>
    <w:autoRedefine/>
    <w:next w:val="0"/>
    <w:pPr>
      <w:ind w:leftChars="1000" w:left="1000"/>
    </w:pPr>
  </w:style>
  <w:style w:type="paragraph" w:styleId="47">
    <w:name w:val="toc 9"/>
    <w:basedOn w:val="0"/>
    <w:autoRedefine/>
    <w:next w:val="0"/>
    <w:pPr>
      <w:ind w:leftChars="1600" w:left="1600"/>
    </w:pPr>
  </w:style>
  <w:style w:type="paragraph" w:styleId="48">
    <w:name w:val="toc 7"/>
    <w:basedOn w:val="0"/>
    <w:autoRedefine/>
    <w:next w:val="0"/>
    <w:pPr>
      <w:ind w:leftChars="1200" w:left="1200"/>
    </w:pPr>
  </w:style>
  <w:style w:type="paragraph" w:styleId="49">
    <w:name w:val="Normal Indent"/>
    <w:basedOn w:val="0"/>
    <w:pPr>
      <w:ind w:firstLineChars="200" w:firstLine="200"/>
    </w:pPr>
  </w:style>
  <w:style w:type="paragraph" w:styleId="50">
    <w:name w:val="toc 8"/>
    <w:basedOn w:val="0"/>
    <w:autoRedefine/>
    <w:next w:val="0"/>
    <w:pPr>
      <w:ind w:leftChars="1400" w:left="1400"/>
    </w:pPr>
  </w:style>
  <w:style w:type="paragraph" w:styleId="51">
    <w:name w:val="toc 5"/>
    <w:basedOn w:val="0"/>
    <w:autoRedefine/>
    <w:next w:val="0"/>
    <w:pPr>
      <w:ind w:leftChars="800" w:left="800"/>
    </w:pPr>
  </w:style>
  <w:style w:type="paragraph" w:styleId="52">
    <w:name w:val="List Bullet 2"/>
    <w:basedOn w:val="0"/>
    <w:pPr>
      <w:tabs>
        <w:tab w:val="clear" w:pos="360"/>
        <w:tab w:val="left" w:pos="780"/>
      </w:tabs>
      <w:ind w:leftChars="200" w:left="400" w:hangingChars="200" w:hanging="200"/>
      <w:contextualSpacing/>
    </w:pPr>
  </w:style>
  <w:style w:type="paragraph" w:styleId="53">
    <w:name w:val="index 7"/>
    <w:basedOn w:val="0"/>
    <w:autoRedefine/>
    <w:next w:val="0"/>
    <w:pPr>
      <w:ind w:leftChars="1200" w:left="1200"/>
    </w:pPr>
  </w:style>
  <w:style w:type="paragraph" w:styleId="54">
    <w:name w:val="List Bullet 3"/>
    <w:basedOn w:val="0"/>
    <w:pPr>
      <w:tabs>
        <w:tab w:val="clear" w:pos="360"/>
        <w:tab w:val="left" w:pos="1200"/>
      </w:tabs>
      <w:ind w:leftChars="400" w:left="600" w:hangingChars="200" w:hanging="200"/>
      <w:contextualSpacing/>
    </w:pPr>
  </w:style>
  <w:style w:type="paragraph" w:styleId="55">
    <w:name w:val="toc 4"/>
    <w:basedOn w:val="0"/>
    <w:autoRedefine/>
    <w:next w:val="0"/>
    <w:pPr>
      <w:ind w:leftChars="600" w:left="600"/>
    </w:pPr>
  </w:style>
  <w:style w:type="paragraph" w:customStyle="1" w:styleId="56">
    <w:name w:val="样式 小四"/>
    <w:pPr>
      <w:widowControl w:val="0"/>
    </w:pPr>
    <w:rPr>
      <w:rFonts w:ascii="宋体" w:eastAsia="宋体" w:cs="Times New Roman"/>
      <w:kern w:val="2"/>
      <w:sz w:val="24"/>
      <w:szCs w:val="20"/>
      <w:lang w:val="en-US" w:eastAsia="zh-CN" w:bidi="mn-Mong-CN"/>
    </w:rPr>
  </w:style>
  <w:style w:type="character" w:styleId="57">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Application>
  <Pages>1</Pages>
  <Words>18</Words>
  <Characters>21</Characters>
  <Lines>1</Lines>
  <Paragraphs>1</Paragraphs>
  <CharactersWithSpaces>21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李伟</dc:creator>
  <cp:lastModifiedBy>李富璋</cp:lastModifiedBy>
  <cp:revision>4</cp:revision>
  <dcterms:created xsi:type="dcterms:W3CDTF">2025-02-24T08:19:00Z</dcterms:created>
  <dcterms:modified xsi:type="dcterms:W3CDTF">2025-08-05T09:25:58Z</dcterms:modified>
</cp:coreProperties>
</file>