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autoSpaceDN w:val="0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  <w:lang w:bidi="ar-SA"/>
        </w:rPr>
      </w:pPr>
    </w:p>
    <w:p>
      <w:pPr>
        <w:pStyle w:val="18"/>
        <w:autoSpaceDN w:val="0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呼和浩特海关关区</w:t>
      </w:r>
      <w:r>
        <w:rPr>
          <w:rFonts w:eastAsia="方正小标宋_GBK"/>
          <w:sz w:val="44"/>
          <w:szCs w:val="44"/>
          <w:lang w:bidi="ar-SA"/>
        </w:rPr>
        <w:t>2025</w:t>
      </w: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年政府信息公开工作</w:t>
      </w:r>
    </w:p>
    <w:p>
      <w:pPr>
        <w:pStyle w:val="18"/>
        <w:autoSpaceDN w:val="0"/>
        <w:spacing w:line="58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年度报告</w:t>
      </w:r>
    </w:p>
    <w:p>
      <w:pPr>
        <w:pStyle w:val="17"/>
        <w:widowControl/>
        <w:shd w:val="clear" w:color="auto" w:fill="FFFFFF"/>
        <w:autoSpaceDN w:val="0"/>
        <w:adjustRightInd w:val="0"/>
        <w:snapToGrid w:val="0"/>
        <w:spacing w:before="0" w:beforeAutospacing="0" w:after="0" w:afterAutospacing="0" w:line="560" w:lineRule="exact"/>
        <w:jc w:val="both"/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19"/>
        <w:autoSpaceDN w:val="0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hAnsi="Times New Roman" w:hint="eastAsia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本报告根据《中华人民共和国政府信息公开条例》《国务院办公厅政府信息与政务公开办公室关于印发</w:t>
      </w:r>
      <w:r>
        <w:rPr>
          <w:rFonts w:ascii="方正仿宋_GBK" w:eastAsia="方正仿宋_GBK" w:hint="eastAsia"/>
          <w:bCs/>
          <w:sz w:val="32"/>
          <w:szCs w:val="32"/>
        </w:rPr>
        <w:t>&lt;中华人民共和国政府信息公开工作年度报告格式&gt;</w:t>
      </w:r>
      <w:r>
        <w:rPr>
          <w:rFonts w:ascii="Times New Roman" w:eastAsia="方正仿宋_GBK" w:hAnsi="Times New Roman" w:hint="eastAsia"/>
          <w:bCs/>
          <w:sz w:val="32"/>
          <w:szCs w:val="32"/>
        </w:rPr>
        <w:t>的通知》（国办公开办函〔</w:t>
      </w:r>
      <w:r>
        <w:rPr>
          <w:rFonts w:ascii="Times New Roman" w:eastAsia="方正仿宋_GBK" w:hAnsi="Times New Roman"/>
          <w:bCs/>
          <w:sz w:val="32"/>
          <w:szCs w:val="32"/>
        </w:rPr>
        <w:t>2021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〕</w:t>
      </w:r>
      <w:r>
        <w:rPr>
          <w:rFonts w:ascii="Times New Roman" w:eastAsia="方正仿宋_GBK" w:hAnsi="Times New Roman"/>
          <w:bCs/>
          <w:sz w:val="32"/>
          <w:szCs w:val="32"/>
        </w:rPr>
        <w:t>30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号），梳理</w:t>
      </w:r>
      <w:r>
        <w:rPr>
          <w:rFonts w:ascii="Times New Roman" w:eastAsia="方正仿宋_GBK" w:hAnsi="Times New Roman"/>
          <w:bCs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年呼和浩特海关关区</w:t>
      </w:r>
      <w:r>
        <w:rPr>
          <w:rFonts w:ascii="Times New Roman" w:eastAsia="方正仿宋_GBK" w:hAnsi="Times New Roman"/>
          <w:bCs/>
          <w:sz w:val="32"/>
          <w:szCs w:val="32"/>
        </w:rPr>
        <w:t>政府信息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公开工作编制而成。本报告所列数据的统计期限，自</w:t>
      </w:r>
      <w:r>
        <w:rPr>
          <w:rFonts w:ascii="Times New Roman" w:eastAsia="方正仿宋_GBK" w:hAnsi="Times New Roman"/>
          <w:bCs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年</w:t>
      </w:r>
      <w:r>
        <w:rPr>
          <w:rFonts w:ascii="Times New Roman" w:eastAsia="方正仿宋_GBK" w:hAnsi="Times New Roman"/>
          <w:bCs/>
          <w:sz w:val="32"/>
          <w:szCs w:val="32"/>
        </w:rPr>
        <w:t>1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月</w:t>
      </w:r>
      <w:r>
        <w:rPr>
          <w:rFonts w:ascii="Times New Roman" w:eastAsia="方正仿宋_GBK" w:hAnsi="Times New Roman"/>
          <w:bCs/>
          <w:sz w:val="32"/>
          <w:szCs w:val="32"/>
        </w:rPr>
        <w:t>1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日起至</w:t>
      </w:r>
      <w:r>
        <w:rPr>
          <w:rFonts w:ascii="Times New Roman" w:eastAsia="方正仿宋_GBK" w:hAnsi="Times New Roman"/>
          <w:bCs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年</w:t>
      </w:r>
      <w:r>
        <w:rPr>
          <w:rFonts w:ascii="Times New Roman" w:eastAsia="方正仿宋_GBK" w:hAnsi="Times New Roman"/>
          <w:bCs/>
          <w:sz w:val="32"/>
          <w:szCs w:val="32"/>
        </w:rPr>
        <w:t>12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月</w:t>
      </w:r>
      <w:r>
        <w:rPr>
          <w:rFonts w:ascii="Times New Roman" w:eastAsia="方正仿宋_GBK" w:hAnsi="Times New Roman"/>
          <w:bCs/>
          <w:sz w:val="32"/>
          <w:szCs w:val="32"/>
        </w:rPr>
        <w:t>31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日止。如对本报告有任何疑问，请联系呼和浩特海关办公室（地址：呼和浩特市如意开发区如意和大街</w:t>
      </w:r>
      <w:r>
        <w:rPr>
          <w:rFonts w:ascii="Times New Roman" w:eastAsia="方正仿宋_GBK" w:hAnsi="Times New Roman"/>
          <w:bCs/>
          <w:sz w:val="32"/>
          <w:szCs w:val="32"/>
        </w:rPr>
        <w:t>37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号，邮政编码：</w:t>
      </w:r>
      <w:r>
        <w:rPr>
          <w:rFonts w:ascii="Times New Roman" w:eastAsia="方正仿宋_GBK" w:hAnsi="Times New Roman"/>
          <w:bCs/>
          <w:sz w:val="32"/>
          <w:szCs w:val="32"/>
        </w:rPr>
        <w:t>010010</w:t>
      </w:r>
      <w:r>
        <w:rPr>
          <w:rFonts w:ascii="Times New Roman" w:eastAsia="方正仿宋_GBK" w:hAnsi="Times New Roman" w:hint="eastAsia"/>
          <w:bCs/>
          <w:sz w:val="32"/>
          <w:szCs w:val="32"/>
        </w:rPr>
        <w:t>，联系电话：</w:t>
      </w:r>
      <w:r>
        <w:rPr>
          <w:rFonts w:ascii="Times New Roman" w:eastAsia="方正仿宋_GBK" w:hAnsi="Times New Roman"/>
          <w:bCs/>
          <w:sz w:val="32"/>
          <w:szCs w:val="32"/>
        </w:rPr>
        <w:t>0471-6992488</w:t>
      </w:r>
      <w:r>
        <w:rPr>
          <w:rFonts w:ascii="Times New Roman" w:eastAsia="方正仿宋_GBK" w:hAnsi="Times New Roman" w:hint="eastAsia"/>
          <w:bCs/>
          <w:sz w:val="32"/>
          <w:szCs w:val="32"/>
        </w:rPr>
        <w:t>，电子邮箱：</w:t>
      </w:r>
      <w:r>
        <w:rPr>
          <w:rFonts w:ascii="Times New Roman" w:eastAsia="方正仿宋_GBK" w:hAnsi="Times New Roman"/>
          <w:bCs/>
          <w:sz w:val="32"/>
          <w:szCs w:val="32"/>
        </w:rPr>
        <w:t>hhhthgysqgk@163.com</w:t>
      </w:r>
      <w:r>
        <w:rPr>
          <w:rFonts w:ascii="Times New Roman" w:eastAsia="方正仿宋_GBK" w:hAnsi="Times New Roman" w:hint="eastAsia"/>
          <w:bCs/>
          <w:sz w:val="32"/>
          <w:szCs w:val="32"/>
        </w:rPr>
        <w:t>）。</w:t>
      </w:r>
    </w:p>
    <w:p>
      <w:pPr>
        <w:pStyle w:val="17"/>
        <w:widowControl/>
        <w:shd w:val="clear" w:color="auto" w:fill="FFFFFF"/>
        <w:autoSpaceDN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59"/>
        <w:autoSpaceDN w:val="0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hAnsi="Times New Roman" w:hint="eastAsia"/>
          <w:sz w:val="32"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（一）紧扣标准化规范化，持续巩固公开成效。</w:t>
      </w:r>
      <w:r>
        <w:rPr>
          <w:rFonts w:eastAsia="方正仿宋_GBK" w:hint="eastAsia"/>
          <w:sz w:val="32"/>
          <w:szCs w:val="32"/>
        </w:rPr>
        <w:t>夯实制度基础，</w:t>
      </w:r>
      <w:r>
        <w:rPr>
          <w:rFonts w:ascii="Times New Roman" w:eastAsia="方正仿宋_GBK" w:hAnsi="Times New Roman"/>
          <w:sz w:val="32"/>
          <w:szCs w:val="32"/>
          <w:bdr w:val="none" w:sz="0" w:space="0" w:color="auto"/>
        </w:rPr>
        <w:t>2025</w:t>
      </w:r>
      <w:r>
        <w:rPr>
          <w:rFonts w:eastAsia="方正仿宋_GBK" w:hint="eastAsia"/>
          <w:sz w:val="32"/>
          <w:szCs w:val="32"/>
          <w:bdr w:val="none" w:sz="0" w:space="0" w:color="auto"/>
        </w:rPr>
        <w:t>年</w:t>
      </w:r>
      <w:r>
        <w:rPr>
          <w:rFonts w:eastAsia="方正仿宋_GBK" w:hint="eastAsia"/>
          <w:sz w:val="32"/>
          <w:szCs w:val="32"/>
          <w:bdr w:val="none" w:sz="0" w:space="0" w:color="auto"/>
          <w:lang w:bidi="ar-SA"/>
        </w:rPr>
        <w:t>制定</w:t>
      </w:r>
      <w:r>
        <w:rPr>
          <w:rFonts w:eastAsia="方正仿宋_GBK"/>
          <w:sz w:val="32"/>
          <w:szCs w:val="32"/>
          <w:bdr w:val="none" w:sz="0" w:space="0" w:color="auto"/>
          <w:lang w:bidi="ar-SA"/>
        </w:rPr>
        <w:t>完善</w:t>
      </w:r>
      <w:r>
        <w:rPr>
          <w:rFonts w:eastAsia="方正仿宋_GBK" w:hint="eastAsia"/>
          <w:sz w:val="32"/>
          <w:szCs w:val="32"/>
          <w:bdr w:val="none" w:sz="0" w:space="0" w:color="auto"/>
        </w:rPr>
        <w:t>呼和浩特海关政府信息公开工作管理办法，进一步</w:t>
      </w:r>
      <w:r>
        <w:rPr>
          <w:rFonts w:eastAsia="方正仿宋_GBK" w:hint="eastAsia"/>
          <w:sz w:val="32"/>
          <w:szCs w:val="32"/>
        </w:rPr>
        <w:t>规范关区政府信息公开工作。推进重点领域政府信息公开，围绕海关数据统计、优化营商环境措施、政策解读等领域加大信息公开力度，通过各类信息公开渠道及时主动公开政府信息。</w:t>
      </w:r>
      <w:r>
        <w:rPr>
          <w:rFonts w:eastAsia="方正仿宋_GBK" w:hint="eastAsia"/>
          <w:sz w:val="32"/>
          <w:szCs w:val="32"/>
          <w:lang w:bidi="ar-SA"/>
        </w:rPr>
        <w:t>紧扣企业群众关心关注事项，结合区位特点加强政策解读，在微信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公众号“</w:t>
      </w:r>
      <w:r>
        <w:rPr>
          <w:rFonts w:ascii="Times New Roman" w:eastAsia="方正仿宋_GBK" w:hAnsi="Times New Roman"/>
          <w:sz w:val="32"/>
          <w:szCs w:val="32"/>
          <w:lang w:bidi="ar-SA"/>
        </w:rPr>
        <w:t>呼和浩特海关发布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”发布、转载政策解读、便利措施和办事指引等</w:t>
      </w:r>
      <w:r>
        <w:rPr>
          <w:rFonts w:ascii="Times New Roman" w:eastAsia="方正仿宋_GBK" w:hAnsi="Times New Roman"/>
          <w:sz w:val="32"/>
          <w:szCs w:val="32"/>
          <w:lang w:bidi="ar-SA"/>
        </w:rPr>
        <w:t>166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篇。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进一步规范依申请公开办理，结合实际案例组织关区集中培训，加强职能指导和督促检查，提高关区整体专业水平。全年关区共受理依申请公开</w:t>
      </w:r>
      <w:r>
        <w:rPr>
          <w:rFonts w:ascii="Times New Roman" w:eastAsia="方正仿宋_GBK" w:hAnsi="Times New Roman"/>
          <w:bCs/>
          <w:sz w:val="32"/>
          <w:szCs w:val="32"/>
          <w:lang w:bidi="ar-SA"/>
        </w:rPr>
        <w:t>9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件，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全部按时按程序办结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。</w:t>
      </w:r>
    </w:p>
    <w:p>
      <w:pPr>
        <w:pStyle w:val="20"/>
        <w:autoSpaceDN w:val="0"/>
        <w:adjustRightInd w:val="0"/>
        <w:snapToGrid w:val="0"/>
        <w:spacing w:line="560" w:lineRule="exact"/>
        <w:ind w:firstLineChars="200" w:firstLine="640"/>
        <w:jc w:val="both"/>
        <w:rPr>
          <w:rFonts w:ascii="方正楷体_GBK" w:eastAsia="方正楷体_GBK" w:cs="方正楷体_GBK"/>
          <w:b/>
          <w:bCs/>
          <w:sz w:val="32"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（二）聚焦人性化多元化，着力提升服务质量。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完善关区“政务地图”，动态更新关区所有办事机构信息和办事指引，让“一站式”查询更好用、更实用</w:t>
      </w:r>
      <w:r>
        <w:rPr>
          <w:rFonts w:ascii="Times New Roman" w:eastAsia="方正仿宋_GBK" w:hAnsi="Times New Roman"/>
          <w:bCs/>
          <w:sz w:val="32"/>
          <w:szCs w:val="32"/>
          <w:lang w:bidi="ar-SA"/>
        </w:rPr>
        <w:t>。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持续</w:t>
      </w:r>
      <w:r>
        <w:rPr>
          <w:rFonts w:ascii="Times New Roman" w:eastAsia="方正仿宋_GBK" w:hAnsi="Times New Roman" w:hint="eastAsia"/>
          <w:sz w:val="32"/>
          <w:szCs w:val="32"/>
        </w:rPr>
        <w:t>维护门户网站政府信息公开目录、食品安全法律法规、优化口岸营商环境等专题专栏，</w:t>
      </w:r>
      <w:r>
        <w:rPr>
          <w:rFonts w:ascii="Times New Roman" w:eastAsia="方正仿宋_GBK" w:hAnsi="Times New Roman"/>
          <w:bCs/>
          <w:sz w:val="32"/>
          <w:szCs w:val="32"/>
          <w:lang w:val="zh-CN"/>
        </w:rPr>
        <w:t>新增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/>
        </w:rPr>
        <w:t>“</w:t>
      </w:r>
      <w:r>
        <w:rPr>
          <w:rFonts w:ascii="Times New Roman" w:eastAsia="方正仿宋_GBK" w:hAnsi="Times New Roman"/>
          <w:bCs/>
          <w:sz w:val="32"/>
          <w:szCs w:val="32"/>
          <w:lang w:val="zh-CN"/>
        </w:rPr>
        <w:t>陆生动物源性食品进出口流程指南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/>
        </w:rPr>
        <w:t>”</w:t>
      </w:r>
      <w:r>
        <w:rPr>
          <w:rFonts w:ascii="Times New Roman" w:eastAsia="方正仿宋_GBK" w:hAnsi="Times New Roman"/>
          <w:bCs/>
          <w:sz w:val="32"/>
          <w:szCs w:val="32"/>
          <w:lang w:val="zh-CN"/>
        </w:rPr>
        <w:t>场景式服务，</w:t>
      </w:r>
      <w:r>
        <w:rPr>
          <w:rFonts w:ascii="Times New Roman" w:eastAsia="方正仿宋_GBK" w:hAnsi="Times New Roman" w:hint="eastAsia"/>
          <w:sz w:val="32"/>
          <w:szCs w:val="32"/>
        </w:rPr>
        <w:t>提升</w:t>
      </w:r>
      <w:r>
        <w:rPr>
          <w:rFonts w:ascii="Times New Roman" w:eastAsia="方正仿宋_GBK" w:hAnsi="Times New Roman"/>
          <w:sz w:val="32"/>
          <w:szCs w:val="32"/>
        </w:rPr>
        <w:t>门户网站</w:t>
      </w:r>
      <w:r>
        <w:rPr>
          <w:rFonts w:ascii="Times New Roman" w:eastAsia="方正仿宋_GBK" w:hAnsi="Times New Roman" w:hint="eastAsia"/>
          <w:sz w:val="32"/>
          <w:szCs w:val="32"/>
        </w:rPr>
        <w:t>服务水平。密切关注、积极回应企业群众诉求，</w:t>
      </w:r>
      <w:r>
        <w:rPr>
          <w:rFonts w:ascii="Times New Roman" w:eastAsia="方正仿宋_GBK" w:hAnsi="Times New Roman"/>
          <w:sz w:val="32"/>
          <w:szCs w:val="32"/>
        </w:rPr>
        <w:t>及时</w:t>
      </w:r>
      <w:r>
        <w:rPr>
          <w:rFonts w:ascii="Times New Roman" w:eastAsia="方正仿宋_GBK" w:hAnsi="Times New Roman" w:hint="eastAsia"/>
          <w:sz w:val="32"/>
          <w:szCs w:val="32"/>
        </w:rPr>
        <w:t>办理答复门户网站业务咨询、关长信箱、</w:t>
      </w:r>
      <w:r>
        <w:rPr>
          <w:rFonts w:ascii="Times New Roman" w:eastAsia="方正仿宋_GBK" w:hAnsi="Times New Roman"/>
          <w:sz w:val="32"/>
          <w:szCs w:val="32"/>
        </w:rPr>
        <w:t>12345</w:t>
      </w:r>
      <w:r>
        <w:rPr>
          <w:rFonts w:ascii="Times New Roman" w:eastAsia="方正仿宋_GBK" w:hAnsi="Times New Roman" w:hint="eastAsia"/>
          <w:sz w:val="32"/>
          <w:szCs w:val="32"/>
        </w:rPr>
        <w:t>热线转办诉求，开展“关长接待日”</w:t>
      </w:r>
      <w:r>
        <w:rPr>
          <w:rFonts w:ascii="Times New Roman" w:eastAsia="方正仿宋_GBK" w:hAnsi="Times New Roman"/>
          <w:sz w:val="32"/>
          <w:szCs w:val="32"/>
        </w:rPr>
        <w:t>144</w:t>
      </w:r>
      <w:r>
        <w:rPr>
          <w:rFonts w:ascii="Times New Roman" w:eastAsia="方正仿宋_GBK" w:hAnsi="Times New Roman" w:hint="eastAsia"/>
          <w:sz w:val="32"/>
          <w:szCs w:val="32"/>
        </w:rPr>
        <w:t>次。持续提升</w:t>
      </w:r>
      <w:r>
        <w:rPr>
          <w:rFonts w:ascii="Times New Roman" w:eastAsia="方正仿宋_GBK" w:hAnsi="Times New Roman"/>
          <w:sz w:val="32"/>
          <w:szCs w:val="32"/>
        </w:rPr>
        <w:t>12360</w:t>
      </w:r>
      <w:r>
        <w:rPr>
          <w:rFonts w:ascii="Times New Roman" w:eastAsia="方正仿宋_GBK" w:hAnsi="Times New Roman" w:hint="eastAsia"/>
          <w:sz w:val="32"/>
          <w:szCs w:val="32"/>
        </w:rPr>
        <w:t>热线服务能力，加强设施设备维护，常态化开展话务员培训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/>
        </w:rPr>
        <w:t>，</w:t>
      </w:r>
      <w:r>
        <w:rPr>
          <w:rFonts w:ascii="Times New Roman" w:eastAsia="方正仿宋_GBK" w:cs="方正黑体_GBK" w:hAnsi="Times New Roman" w:hint="eastAsia"/>
          <w:sz w:val="32"/>
          <w:szCs w:val="32"/>
          <w:lang w:bidi="ar-SA"/>
        </w:rPr>
        <w:t>全年12360热线话务量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3866次</w:t>
      </w:r>
      <w:r>
        <w:rPr>
          <w:rFonts w:ascii="Times New Roman" w:eastAsia="宋体" w:cs="Times New Roman" w:hAnsi="Times New Roman"/>
          <w:color w:val="000000"/>
          <w:sz w:val="28"/>
          <w:szCs w:val="24"/>
          <w:lang w:bidi="ar-SA"/>
        </w:rPr>
        <w:t>，</w:t>
      </w:r>
      <w:r>
        <w:rPr>
          <w:rFonts w:ascii="Times New Roman" w:eastAsia="方正仿宋_GBK" w:hAnsi="Times New Roman"/>
          <w:bCs/>
          <w:sz w:val="32"/>
          <w:szCs w:val="32"/>
          <w:lang w:val="zh-CN"/>
        </w:rPr>
        <w:t>接通率</w:t>
      </w:r>
      <w:r>
        <w:rPr>
          <w:rFonts w:ascii="Times New Roman" w:eastAsia="Times New Roman" w:cs="Times New Roman" w:hAnsi="Times New Roman"/>
          <w:color w:val="000000"/>
          <w:sz w:val="32"/>
          <w:szCs w:val="32"/>
          <w:lang w:bidi="ar-SA"/>
        </w:rPr>
        <w:t>99.5%</w:t>
      </w:r>
      <w:r>
        <w:rPr>
          <w:rFonts w:ascii="Times New Roman" w:eastAsia="方正仿宋_GBK" w:hAnsi="Times New Roman"/>
          <w:bCs/>
          <w:sz w:val="32"/>
          <w:szCs w:val="32"/>
          <w:lang w:val="zh-CN"/>
        </w:rPr>
        <w:t>。</w:t>
      </w:r>
    </w:p>
    <w:p>
      <w:pPr>
        <w:pStyle w:val="20"/>
        <w:autoSpaceDN w:val="0"/>
        <w:adjustRightInd w:val="0"/>
        <w:snapToGrid w:val="0"/>
        <w:spacing w:line="560" w:lineRule="exact"/>
        <w:ind w:left="0" w:firstLineChars="200" w:firstLine="640"/>
        <w:jc w:val="both"/>
        <w:rPr>
          <w:rFonts w:ascii="Times New Roman" w:eastAsia="方正仿宋_GBK" w:hAnsi="Times New Roman" w:hint="eastAsia"/>
          <w:bCs/>
          <w:sz w:val="32"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（三）坚持系统化日常化，扎实做好监督保障。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健全关区政府信息公开</w:t>
      </w:r>
      <w:r>
        <w:rPr>
          <w:rFonts w:ascii="Times New Roman" w:eastAsia="方正仿宋_GBK" w:hAnsi="Times New Roman"/>
          <w:bCs/>
          <w:sz w:val="32"/>
          <w:szCs w:val="32"/>
          <w:lang w:bidi="ar-SA"/>
        </w:rPr>
        <w:t>日常检查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机制，推动检查工作常态化。严格对照海关主动公开政府信息对外公开期限要求，定期检查</w:t>
      </w:r>
      <w:r>
        <w:rPr>
          <w:rFonts w:ascii="Times New Roman" w:eastAsia="方正仿宋_GBK" w:hAnsi="Times New Roman"/>
          <w:bCs/>
          <w:sz w:val="32"/>
          <w:szCs w:val="32"/>
          <w:lang w:bidi="ar-SA"/>
        </w:rPr>
        <w:t>、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清理下架过期信息，提高信息质量，保障公众权益，防范潜在风险。增强保</w:t>
      </w:r>
      <w:r>
        <w:rPr>
          <w:rFonts w:ascii="Times New Roman" w:eastAsia="方正仿宋_GBK" w:cs="楷体_GB2312" w:hAnsi="Times New Roman" w:hint="eastAsia"/>
          <w:bCs/>
          <w:sz w:val="32"/>
          <w:szCs w:val="32"/>
          <w:lang w:bidi="ar-SA"/>
        </w:rPr>
        <w:t>密安全意识，通过严格审批《保密审查单》规范公开过程中的保密管理，着力以系统化手段加强关区政府信息公开审查工作。加强队伍建设，</w:t>
      </w:r>
      <w:r>
        <w:rPr>
          <w:rFonts w:ascii="Times New Roman" w:eastAsia="方正仿宋_GBK" w:hAnsi="Times New Roman" w:hint="eastAsia"/>
          <w:bCs/>
          <w:sz w:val="32"/>
          <w:szCs w:val="32"/>
          <w:lang w:bidi="ar-SA"/>
        </w:rPr>
        <w:t>组织政务公开专题培训，切实提升人员业务素质水平。</w:t>
      </w:r>
    </w:p>
    <w:p>
      <w:pPr>
        <w:pStyle w:val="24"/>
        <w:autoSpaceDN w:val="0"/>
        <w:adjustRightInd w:val="0"/>
        <w:snapToGrid w:val="0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rFonts w:hint="eastAsia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rFonts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autoSpaceDN w:val="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167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498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autoSpaceDN w:val="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250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utoSpaceDN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32"/>
        <w:tabs>
          <w:tab w:val="center" w:pos="4153"/>
          <w:tab w:val="right" w:pos="8306"/>
        </w:tabs>
        <w:autoSpaceDN w:val="0"/>
        <w:rPr>
          <w:rFonts w:hint="eastAsia"/>
        </w:rPr>
      </w:pPr>
    </w:p>
    <w:p>
      <w:pPr>
        <w:pStyle w:val="17"/>
        <w:widowControl/>
        <w:shd w:val="clear" w:color="auto" w:fill="FFFFFF"/>
        <w:autoSpaceDN w:val="0"/>
        <w:adjustRightInd w:val="0"/>
        <w:snapToGrid w:val="0"/>
        <w:spacing w:before="0" w:beforeAutospacing="0" w:afterLines="50" w:after="156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105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105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47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5"/>
              <w:widowControl/>
              <w:autoSpaceDN w:val="0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5"/>
              <w:widowControl/>
              <w:autoSpaceDN w:val="0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5"/>
              <w:widowControl/>
              <w:autoSpaceDN w:val="0"/>
              <w:rPr>
                <w:rFonts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5"/>
              <w:widowControl/>
              <w:autoSpaceDN w:val="0"/>
              <w:rPr>
                <w:rFonts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5"/>
              <w:widowControl/>
              <w:autoSpaceDN w:val="0"/>
              <w:rPr>
                <w:rFonts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5"/>
              <w:widowControl/>
              <w:autoSpaceDN w:val="0"/>
              <w:rPr>
                <w:rFonts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autoSpaceDN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17"/>
        <w:widowControl/>
        <w:shd w:val="clear" w:color="auto" w:fill="FFFFFF"/>
        <w:autoSpaceDN w:val="0"/>
        <w:spacing w:beforeLines="50" w:before="156" w:beforeAutospacing="0" w:after="120" w:afterAutospacing="0"/>
        <w:ind w:firstLineChars="200" w:firstLine="640"/>
        <w:jc w:val="both"/>
        <w:rPr>
          <w:rFonts w:ascii="宋体" w:cs="宋体" w:hint="eastAsia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30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915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"/>
              <w:widowControl/>
              <w:autoSpaceDN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17"/>
        <w:widowControl/>
        <w:shd w:val="clear" w:color="auto" w:fill="FFFFFF"/>
        <w:autoSpaceDN w:val="0"/>
        <w:spacing w:beforeLines="50" w:before="156" w:beforeAutospacing="0" w:after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33"/>
        <w:autoSpaceDN w:val="0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（一）</w:t>
      </w:r>
      <w:r>
        <w:rPr>
          <w:rFonts w:eastAsia="方正楷体_GBK"/>
          <w:b/>
          <w:bCs/>
          <w:szCs w:val="32"/>
        </w:rPr>
        <w:t>2024</w:t>
      </w:r>
      <w:r>
        <w:rPr>
          <w:rFonts w:ascii="方正楷体_GBK" w:eastAsia="方正楷体_GBK" w:hint="eastAsia"/>
          <w:b/>
          <w:bCs/>
          <w:szCs w:val="32"/>
        </w:rPr>
        <w:t>年年报中所提问题整改情况。</w:t>
      </w:r>
    </w:p>
    <w:p>
      <w:pPr>
        <w:pStyle w:val="34"/>
        <w:autoSpaceDN w:val="0"/>
        <w:adjustRightInd w:val="0"/>
        <w:snapToGrid w:val="0"/>
        <w:ind w:firstLineChars="200" w:firstLine="624"/>
        <w:rPr>
          <w:rFonts w:ascii="方正仿宋_GBK" w:hint="eastAsia"/>
          <w:szCs w:val="32"/>
        </w:rPr>
      </w:pPr>
      <w:r>
        <w:rPr>
          <w:rFonts w:hint="eastAsia"/>
          <w:szCs w:val="32"/>
        </w:rPr>
        <w:t>针对</w:t>
      </w:r>
      <w:r>
        <w:rPr>
          <w:rFonts w:hint="eastAsia"/>
        </w:rPr>
        <w:t>“</w:t>
      </w:r>
      <w:r>
        <w:rPr>
          <w:rFonts w:ascii="方正仿宋_GBK" w:hint="eastAsia"/>
        </w:rPr>
        <w:t>政府信息公开队伍稳定性、专业性存在欠缺，政策解读深度、广度、精准度有待进一步提升</w:t>
      </w:r>
      <w:r>
        <w:rPr>
          <w:rFonts w:hint="eastAsia"/>
        </w:rPr>
        <w:t>”的问题</w:t>
      </w:r>
      <w:r>
        <w:rPr>
          <w:rFonts w:ascii="方正仿宋_GBK" w:hint="eastAsia"/>
          <w:bCs/>
          <w:szCs w:val="32"/>
        </w:rPr>
        <w:t>，</w:t>
      </w:r>
      <w:r>
        <w:rPr>
          <w:rFonts w:hint="eastAsia"/>
        </w:rPr>
        <w:t>从以下方面完成整改：</w:t>
      </w:r>
      <w:r>
        <w:rPr>
          <w:szCs w:val="32"/>
        </w:rPr>
        <w:t>一是</w:t>
      </w:r>
      <w:r>
        <w:rPr>
          <w:rFonts w:hint="eastAsia"/>
          <w:szCs w:val="32"/>
        </w:rPr>
        <w:t>通过</w:t>
      </w:r>
      <w:r>
        <w:t>夯实制度基础，</w:t>
      </w:r>
      <w:r>
        <w:rPr>
          <w:rFonts w:eastAsia="方正仿宋_GBK"/>
          <w:sz w:val="32"/>
          <w:szCs w:val="32"/>
          <w:bdr w:val="none" w:sz="0" w:space="0" w:color="auto"/>
        </w:rPr>
        <w:t>2025年</w:t>
      </w:r>
      <w:r>
        <w:rPr>
          <w:rFonts w:eastAsia="方正仿宋_GBK"/>
          <w:sz w:val="32"/>
          <w:szCs w:val="32"/>
          <w:bdr w:val="none" w:sz="0" w:space="0" w:color="auto"/>
          <w:lang w:bidi="ar-SA"/>
        </w:rPr>
        <w:t>制定</w:t>
      </w:r>
      <w:r>
        <w:rPr>
          <w:rFonts w:eastAsia="方正仿宋_GBK" w:hint="eastAsia"/>
          <w:sz w:val="32"/>
          <w:szCs w:val="32"/>
          <w:bdr w:val="none" w:sz="0" w:space="0" w:color="auto"/>
        </w:rPr>
        <w:t>呼和浩特海关政府信息公开工作管理办法</w:t>
      </w:r>
      <w:r>
        <w:rPr>
          <w:rFonts w:eastAsia="方正仿宋_GBK"/>
          <w:sz w:val="32"/>
          <w:szCs w:val="32"/>
          <w:bdr w:val="none" w:sz="0" w:space="0" w:color="auto"/>
        </w:rPr>
        <w:t>，进一步</w:t>
      </w:r>
      <w:r>
        <w:t>规范政府信息公开工作；二是加强</w:t>
      </w:r>
      <w:r>
        <w:rPr>
          <w:rFonts w:hint="eastAsia"/>
        </w:rPr>
        <w:t>业务培训，结合政策法规和典型案例，开展分层分类培训，</w:t>
      </w:r>
      <w:r>
        <w:t>提升</w:t>
      </w:r>
      <w:r>
        <w:rPr>
          <w:rFonts w:ascii="方正仿宋_GBK" w:hint="eastAsia"/>
        </w:rPr>
        <w:t>政府信息公开队伍能力与政策解读水平</w:t>
      </w:r>
      <w:r>
        <w:t>；三</w:t>
      </w:r>
      <w:r>
        <w:rPr>
          <w:rFonts w:hint="eastAsia"/>
        </w:rPr>
        <w:t>是加强与各职能部门沟通交流，进一步明确相关职责与任务时限，</w:t>
      </w:r>
      <w:r>
        <w:t>同向发力提升</w:t>
      </w:r>
      <w:r>
        <w:rPr>
          <w:rFonts w:ascii="方正仿宋_GBK" w:hint="eastAsia"/>
        </w:rPr>
        <w:t>政策解读深度、广度、精准度</w:t>
      </w:r>
      <w:r>
        <w:rPr>
          <w:rFonts w:hint="eastAsia"/>
        </w:rPr>
        <w:t>。</w:t>
      </w:r>
    </w:p>
    <w:p>
      <w:pPr>
        <w:pStyle w:val="35"/>
        <w:autoSpaceDN w:val="0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（二）目前存在问题。</w:t>
      </w:r>
    </w:p>
    <w:p>
      <w:pPr>
        <w:pStyle w:val="17"/>
        <w:widowControl/>
        <w:shd w:val="clear" w:color="auto" w:fill="FFFFFF"/>
        <w:autoSpaceDN w:val="0"/>
        <w:spacing w:before="0" w:beforeAutospacing="0" w:after="0" w:afterAutospacing="0" w:line="560" w:lineRule="exact"/>
        <w:ind w:firstLineChars="200" w:firstLine="624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ascii="方正仿宋_GBK" w:eastAsia="方正仿宋_GBK" w:hint="eastAsia"/>
          <w:bCs/>
          <w:spacing w:val="-4"/>
          <w:kern w:val="2"/>
          <w:sz w:val="32"/>
          <w:szCs w:val="28"/>
          <w:lang w:bidi="ar-SA"/>
        </w:rPr>
        <w:t>各隶属海关</w:t>
      </w:r>
      <w:r>
        <w:rPr>
          <w:rFonts w:ascii="方正仿宋_GBK" w:eastAsia="方正仿宋_GBK" w:hint="eastAsia"/>
          <w:spacing w:val="-4"/>
          <w:kern w:val="2"/>
          <w:sz w:val="32"/>
          <w:szCs w:val="28"/>
        </w:rPr>
        <w:t>政府信息公开工作仍然存在不平衡的情况，部分单位在“精准公开”方面还需要进一步加强。</w:t>
      </w:r>
    </w:p>
    <w:p>
      <w:pPr>
        <w:pStyle w:val="17"/>
        <w:widowControl/>
        <w:shd w:val="clear" w:color="auto" w:fill="FFFFFF"/>
        <w:autoSpaceDN w:val="0"/>
        <w:spacing w:before="0" w:beforeAutospacing="0" w:after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六、其他需要报告的事项</w:t>
      </w:r>
    </w:p>
    <w:p>
      <w:pPr>
        <w:pStyle w:val="37"/>
        <w:autoSpaceDN w:val="0"/>
        <w:adjustRightInd w:val="0"/>
        <w:snapToGrid w:val="0"/>
        <w:ind w:firstLineChars="200" w:firstLine="624"/>
        <w:rPr>
          <w:szCs w:val="32"/>
        </w:rPr>
      </w:pPr>
      <w:r>
        <w:rPr>
          <w:szCs w:val="32"/>
        </w:rPr>
        <w:t>2025年关区无政府信息公开收费情况</w:t>
      </w:r>
      <w:r>
        <w:rPr>
          <w:rFonts w:hint="eastAsia"/>
          <w:szCs w:val="32"/>
        </w:rPr>
        <w:t>。</w:t>
      </w: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 w:fmt="numberInDash" w:start="1"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ind w:firstLineChars="100" w:firstLine="280"/>
      <w:rPr>
        <w:rFonts w:ascii="宋体" w:hint="eastAsia"/>
        <w:sz w:val="28"/>
        <w:szCs w:val="28"/>
      </w:rPr>
    </w:pPr>
    <w:r>
      <w:rPr>
        <w:rStyle w:val="57"/>
        <w:rFonts w:ascii="宋体" w:hint="eastAsia"/>
        <w:sz w:val="28"/>
        <w:szCs w:val="28"/>
      </w:rPr>
      <w:fldChar w:fldCharType="begin"/>
    </w:r>
    <w:r>
      <w:rPr>
        <w:rStyle w:val="57"/>
        <w:rFonts w:ascii="宋体" w:hint="eastAsia"/>
        <w:sz w:val="28"/>
        <w:szCs w:val="28"/>
      </w:rPr>
      <w:instrText>Page</w:instrText>
    </w:r>
    <w:r>
      <w:rPr>
        <w:rStyle w:val="57"/>
        <w:rFonts w:ascii="宋体" w:hint="eastAsia"/>
        <w:sz w:val="28"/>
        <w:szCs w:val="28"/>
      </w:rPr>
      <w:fldChar w:fldCharType="separate"/>
    </w:r>
    <w:r>
      <w:rPr>
        <w:rStyle w:val="57"/>
        <w:rFonts w:ascii="宋体" w:hint="eastAsia"/>
        <w:sz w:val="28"/>
        <w:szCs w:val="28"/>
      </w:rPr>
      <w:t>- 1 -</w:t>
    </w:r>
    <w:r>
      <w:rPr>
        <w:rStyle w:val="57"/>
        <w:rFonts w:ascii="宋体" w:hint="eastAsia"/>
        <w:sz w:val="28"/>
        <w:szCs w:val="28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- 1 -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5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mn-Mong-CN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</w:rPr>
  </w:style>
  <w:style w:type="paragraph" w:styleId="17">
    <w:name w:val="Normal (Web)"/>
    <w:basedOn w:val="0"/>
    <w:pPr>
      <w:spacing w:before="100" w:beforeAutospacing="1" w:after="100" w:afterAutospacing="1"/>
      <w:jc w:val="left"/>
    </w:pPr>
    <w:rPr>
      <w:rFonts w:eastAsia="宋体"/>
      <w:kern w:val="0"/>
      <w:sz w:val="24"/>
      <w:szCs w:val="30"/>
    </w:rPr>
  </w:style>
  <w:style w:type="paragraph" w:customStyle="1" w:styleId="18">
    <w:name w:val="样式 6 三号"/>
    <w:next w:val="3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customStyle="1" w:styleId="19">
    <w:name w:val="样式 1 小四"/>
    <w:next w:val="39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20">
    <w:name w:val="样式 3 小四"/>
    <w:next w:val="40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21">
    <w:name w:val="样式 1 10 磅"/>
    <w:next w:val="41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mn-Mong-CN"/>
    </w:rPr>
  </w:style>
  <w:style w:type="paragraph" w:customStyle="1" w:styleId="22">
    <w:name w:val="样式 10 磅"/>
    <w:next w:val="42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mn-Mong-CN"/>
    </w:rPr>
  </w:style>
  <w:style w:type="paragraph" w:customStyle="1" w:styleId="23">
    <w:name w:val="样式 1 小五"/>
    <w:next w:val="43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mn-Mong-CN"/>
    </w:rPr>
  </w:style>
  <w:style w:type="paragraph" w:customStyle="1" w:styleId="24">
    <w:name w:val="样式 50 三号"/>
    <w:next w:val="4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customStyle="1" w:styleId="25">
    <w:name w:val="样式 小三"/>
    <w:next w:val="4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mn-Mong-CN"/>
    </w:rPr>
  </w:style>
  <w:style w:type="paragraph" w:customStyle="1" w:styleId="26">
    <w:name w:val="样式 三号"/>
    <w:next w:val="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mn-Mong-CN"/>
    </w:rPr>
  </w:style>
  <w:style w:type="paragraph" w:customStyle="1" w:styleId="27">
    <w:name w:val="样式 5 小三"/>
    <w:next w:val="4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mn-Mong-CN"/>
    </w:rPr>
  </w:style>
  <w:style w:type="paragraph" w:customStyle="1" w:styleId="28">
    <w:name w:val="样式 16 小三"/>
    <w:next w:val="4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mn-Mong-CN"/>
    </w:rPr>
  </w:style>
  <w:style w:type="paragraph" w:customStyle="1" w:styleId="29">
    <w:name w:val="样式 8 小三"/>
    <w:next w:val="4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mn-Mong-CN"/>
    </w:rPr>
  </w:style>
  <w:style w:type="paragraph" w:customStyle="1" w:styleId="30">
    <w:name w:val="样式 17 小三"/>
    <w:next w:val="4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mn-Mong-CN"/>
    </w:rPr>
  </w:style>
  <w:style w:type="paragraph" w:customStyle="1" w:styleId="31">
    <w:name w:val="样式 12 小三"/>
    <w:next w:val="5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mn-Mong-CN"/>
    </w:rPr>
  </w:style>
  <w:style w:type="paragraph" w:customStyle="1" w:styleId="32">
    <w:name w:val="样式 小五"/>
    <w:next w:val="15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mn-Mong-CN"/>
    </w:rPr>
  </w:style>
  <w:style w:type="paragraph" w:customStyle="1" w:styleId="33">
    <w:name w:val="样式 8 三号"/>
    <w:next w:val="5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customStyle="1" w:styleId="34">
    <w:name w:val="样式 3 三号"/>
    <w:next w:val="5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customStyle="1" w:styleId="35">
    <w:name w:val="样式 13 三号"/>
    <w:next w:val="5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customStyle="1" w:styleId="36">
    <w:name w:val="样式 16 三号"/>
    <w:next w:val="5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mn-Mong-CN"/>
    </w:rPr>
  </w:style>
  <w:style w:type="paragraph" w:customStyle="1" w:styleId="37">
    <w:name w:val="样式 7 三号"/>
    <w:next w:val="55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styleId="38">
    <w:name w:val="toc 3"/>
    <w:basedOn w:val="0"/>
    <w:autoRedefine/>
    <w:next w:val="0"/>
    <w:pPr>
      <w:ind w:leftChars="400" w:left="400"/>
    </w:pPr>
  </w:style>
  <w:style w:type="paragraph" w:styleId="39">
    <w:name w:val="index 5"/>
    <w:basedOn w:val="0"/>
    <w:autoRedefine/>
    <w:next w:val="0"/>
    <w:pPr>
      <w:ind w:leftChars="800" w:left="800"/>
    </w:pPr>
  </w:style>
  <w:style w:type="paragraph" w:styleId="40">
    <w:name w:val="List Continue 2"/>
    <w:basedOn w:val="0"/>
    <w:pPr>
      <w:spacing w:after="120"/>
      <w:ind w:leftChars="400" w:left="400"/>
      <w:contextualSpacing/>
    </w:pPr>
  </w:style>
  <w:style w:type="paragraph" w:styleId="41">
    <w:name w:val="footnote text"/>
    <w:basedOn w:val="0"/>
    <w:pPr>
      <w:snapToGrid w:val="0"/>
      <w:jc w:val="left"/>
    </w:pPr>
    <w:rPr>
      <w:sz w:val="18"/>
    </w:rPr>
  </w:style>
  <w:style w:type="paragraph" w:styleId="42">
    <w:name w:val="List 3"/>
    <w:basedOn w:val="0"/>
    <w:pPr>
      <w:ind w:leftChars="400" w:left="600" w:hangingChars="200" w:hanging="200"/>
      <w:contextualSpacing/>
    </w:pPr>
  </w:style>
  <w:style w:type="paragraph" w:styleId="43">
    <w:name w:val="List Number 2"/>
    <w:basedOn w:val="0"/>
    <w:pPr>
      <w:tabs>
        <w:tab w:val="clear" w:pos="360"/>
        <w:tab w:val="left" w:pos="780"/>
      </w:tabs>
      <w:ind w:leftChars="200" w:left="400" w:hangingChars="200" w:hanging="200"/>
      <w:contextualSpacing/>
    </w:pPr>
  </w:style>
  <w:style w:type="paragraph" w:styleId="44">
    <w:name w:val="index 6"/>
    <w:basedOn w:val="0"/>
    <w:autoRedefine/>
    <w:next w:val="0"/>
    <w:pPr>
      <w:ind w:leftChars="1000" w:left="1000"/>
    </w:pPr>
  </w:style>
  <w:style w:type="paragraph" w:styleId="45">
    <w:name w:val="index 8"/>
    <w:basedOn w:val="0"/>
    <w:autoRedefine/>
    <w:next w:val="0"/>
    <w:pPr>
      <w:ind w:leftChars="1400" w:left="1400"/>
    </w:pPr>
  </w:style>
  <w:style w:type="paragraph" w:styleId="46">
    <w:name w:val="toc 6"/>
    <w:basedOn w:val="0"/>
    <w:autoRedefine/>
    <w:next w:val="0"/>
    <w:pPr>
      <w:ind w:leftChars="1000" w:left="1000"/>
    </w:pPr>
  </w:style>
  <w:style w:type="paragraph" w:styleId="47">
    <w:name w:val="toc 9"/>
    <w:basedOn w:val="0"/>
    <w:autoRedefine/>
    <w:next w:val="0"/>
    <w:pPr>
      <w:ind w:leftChars="1600" w:left="1600"/>
    </w:pPr>
  </w:style>
  <w:style w:type="paragraph" w:styleId="48">
    <w:name w:val="toc 7"/>
    <w:basedOn w:val="0"/>
    <w:autoRedefine/>
    <w:next w:val="0"/>
    <w:pPr>
      <w:ind w:leftChars="1200" w:left="1200"/>
    </w:pPr>
  </w:style>
  <w:style w:type="paragraph" w:styleId="49">
    <w:name w:val="Normal Indent"/>
    <w:basedOn w:val="0"/>
    <w:pPr>
      <w:ind w:firstLineChars="200" w:firstLine="200"/>
    </w:pPr>
  </w:style>
  <w:style w:type="paragraph" w:styleId="50">
    <w:name w:val="toc 8"/>
    <w:basedOn w:val="0"/>
    <w:autoRedefine/>
    <w:next w:val="0"/>
    <w:pPr>
      <w:ind w:leftChars="1400" w:left="1400"/>
    </w:pPr>
  </w:style>
  <w:style w:type="paragraph" w:styleId="51">
    <w:name w:val="toc 5"/>
    <w:basedOn w:val="0"/>
    <w:autoRedefine/>
    <w:next w:val="0"/>
    <w:pPr>
      <w:ind w:leftChars="800" w:left="800"/>
    </w:pPr>
  </w:style>
  <w:style w:type="paragraph" w:styleId="52">
    <w:name w:val="List Bullet 2"/>
    <w:basedOn w:val="0"/>
    <w:pPr>
      <w:tabs>
        <w:tab w:val="clear" w:pos="360"/>
        <w:tab w:val="left" w:pos="780"/>
      </w:tabs>
      <w:ind w:leftChars="200" w:left="400" w:hangingChars="200" w:hanging="200"/>
      <w:contextualSpacing/>
    </w:pPr>
  </w:style>
  <w:style w:type="paragraph" w:styleId="53">
    <w:name w:val="index 7"/>
    <w:basedOn w:val="0"/>
    <w:autoRedefine/>
    <w:next w:val="0"/>
    <w:pPr>
      <w:ind w:leftChars="1200" w:left="1200"/>
    </w:pPr>
  </w:style>
  <w:style w:type="paragraph" w:styleId="54">
    <w:name w:val="List Bullet 3"/>
    <w:basedOn w:val="0"/>
    <w:pPr>
      <w:tabs>
        <w:tab w:val="clear" w:pos="360"/>
        <w:tab w:val="left" w:pos="1200"/>
      </w:tabs>
      <w:ind w:leftChars="400" w:left="600" w:hangingChars="200" w:hanging="200"/>
      <w:contextualSpacing/>
    </w:pPr>
  </w:style>
  <w:style w:type="paragraph" w:styleId="55">
    <w:name w:val="toc 4"/>
    <w:basedOn w:val="0"/>
    <w:autoRedefine/>
    <w:next w:val="0"/>
    <w:pPr>
      <w:ind w:leftChars="600" w:left="600"/>
    </w:pPr>
  </w:style>
  <w:style w:type="paragraph" w:customStyle="1" w:styleId="56">
    <w:name w:val="样式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character" w:styleId="57">
    <w:name w:val="page number"/>
    <w:basedOn w:val="10"/>
  </w:style>
  <w:style w:type="paragraph" w:customStyle="1" w:styleId="58">
    <w:name w:val="样式 2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59">
    <w:name w:val="样式 4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60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mn-Mong-CN"/>
    </w:rPr>
  </w:style>
  <w:style w:type="paragraph" w:customStyle="1" w:styleId="61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mn-Mong-CN"/>
    </w:rPr>
  </w:style>
  <w:style w:type="paragraph" w:customStyle="1" w:styleId="62">
    <w:name w:val="样式 2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3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4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mn-Mong-CN"/>
    </w:rPr>
  </w:style>
  <w:style w:type="paragraph" w:customStyle="1" w:styleId="65">
    <w:name w:val="样式 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6">
    <w:name w:val="样式 5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67">
    <w:name w:val="样式 6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6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">
    <w:name w:val="样式 7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72">
    <w:name w:val="样式 8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  <w:style w:type="paragraph" w:customStyle="1" w:styleId="73">
    <w:name w:val="样式 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customStyle="1" w:styleId="74">
    <w:name w:val="样式 9 小四"/>
    <w:pPr>
      <w:widowControl w:val="0"/>
      <w:spacing w:before="100" w:beforeAutospacing="1" w:after="100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mn-Mong-CN"/>
    </w:rPr>
  </w:style>
  <w:style w:type="paragraph" w:customStyle="1" w:styleId="75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9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paragraph" w:customStyle="1" w:styleId="77">
    <w:name w:val="样式 11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mn-Mong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138</TotalTime>
  <Application>Yozo_Office</Application>
  <Pages>5</Pages>
  <Words>2189</Words>
  <Characters>2303</Characters>
  <Lines>423</Lines>
  <Paragraphs>304</Paragraphs>
  <CharactersWithSpaces>2303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李伟</dc:creator>
  <cp:lastModifiedBy>刘畅文</cp:lastModifiedBy>
  <cp:revision>4</cp:revision>
  <dcterms:created xsi:type="dcterms:W3CDTF">2025-02-24T08:19:00Z</dcterms:created>
  <dcterms:modified xsi:type="dcterms:W3CDTF">2026-02-28T09:05:28Z</dcterms:modified>
</cp:coreProperties>
</file>