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after="225"/>
        <w:jc w:val="center"/>
        <w:outlineLvl w:val="0"/>
        <w:rPr>
          <w:rFonts w:ascii="Helvetica" w:eastAsia="宋体" w:cs="Helvetica" w:hAnsi="Helvetica"/>
          <w:b/>
          <w:bCs/>
          <w:color w:val="333333"/>
          <w:kern w:val="36"/>
          <w:sz w:val="28"/>
          <w:szCs w:val="28"/>
        </w:rPr>
      </w:pPr>
      <w:r>
        <w:rPr>
          <w:rFonts w:ascii="Helvetica" w:eastAsia="宋体" w:cs="Helvetica" w:hAnsi="Helvetica"/>
          <w:b/>
          <w:bCs/>
          <w:color w:val="333333"/>
          <w:kern w:val="36"/>
          <w:sz w:val="28"/>
          <w:szCs w:val="28"/>
        </w:rPr>
        <w:t>财政部等13个部门关于调整扩大跨境电子商务零售进口商品清单的公告</w:t>
      </w:r>
    </w:p>
    <w:p>
      <w:pPr>
        <w:widowControl/>
        <w:spacing w:after="225"/>
        <w:jc w:val="center"/>
        <w:outlineLvl w:val="2"/>
        <w:rPr>
          <w:rFonts w:ascii="Helvetica" w:eastAsia="宋体" w:cs="Helvetica" w:hAnsi="Helvetica"/>
          <w:color w:val="333333"/>
          <w:kern w:val="0"/>
          <w:sz w:val="28"/>
          <w:szCs w:val="28"/>
        </w:rPr>
      </w:pPr>
      <w:r>
        <w:rPr>
          <w:rFonts w:ascii="Helvetica" w:eastAsia="宋体" w:cs="Helvetica" w:hAnsi="Helvetica"/>
          <w:color w:val="333333"/>
          <w:kern w:val="0"/>
          <w:sz w:val="28"/>
          <w:szCs w:val="28"/>
        </w:rPr>
        <w:t>财政部 发展改革委 工业和信息化部 生态环境部 农业农村部 商务部 人民银行 海关总署 税务总局 市场监管总局 药监局 密码局 濒管办公告2019年第96号</w:t>
      </w:r>
    </w:p>
    <w:p>
      <w:pPr>
        <w:widowControl/>
        <w:spacing w:line="450" w:lineRule="atLeast"/>
        <w:jc w:val="right"/>
        <w:rPr>
          <w:rFonts w:ascii="Helvetica" w:eastAsia="宋体" w:cs="Helvetica" w:hAnsi="Helvetica"/>
          <w:color w:val="333333"/>
          <w:kern w:val="0"/>
          <w:sz w:val="28"/>
          <w:szCs w:val="28"/>
        </w:rPr>
      </w:pPr>
      <w:r>
        <w:rPr>
          <w:rFonts w:ascii="Helvetica" w:eastAsia="宋体" w:cs="Helvetica" w:hAnsi="Helvetica"/>
          <w:color w:val="333333"/>
          <w:kern w:val="0"/>
          <w:sz w:val="28"/>
          <w:szCs w:val="28"/>
        </w:rPr>
        <w:t>有效级别：全文有效发文日期：2019年12月24日生效日期：2020年1月1日</w:t>
      </w:r>
    </w:p>
    <w:p>
      <w:pPr>
        <w:widowControl/>
        <w:spacing w:after="180" w:line="450" w:lineRule="atLeast"/>
        <w:ind w:firstLine="480"/>
        <w:rPr>
          <w:rFonts w:ascii="Helvetica" w:eastAsia="宋体" w:cs="Helvetica" w:hAnsi="Helvetica"/>
          <w:color w:val="333333"/>
          <w:kern w:val="0"/>
          <w:sz w:val="28"/>
          <w:szCs w:val="28"/>
        </w:rPr>
      </w:pPr>
      <w:r>
        <w:rPr>
          <w:rFonts w:ascii="Helvetica" w:eastAsia="宋体" w:cs="Helvetica" w:hAnsi="Helvetica"/>
          <w:color w:val="333333"/>
          <w:kern w:val="0"/>
          <w:sz w:val="28"/>
          <w:szCs w:val="28"/>
        </w:rPr>
        <w:t>为落实国务院关于调整扩大跨境电子商务零售进口商品清单的要求，促进跨境电子商务零售进口的健康发展，现将《跨境电子商务零售进口商品清单（2019年版）》予以公布，自2020年1月1日起实施。</w:t>
      </w:r>
    </w:p>
    <w:p>
      <w:pPr>
        <w:widowControl/>
        <w:spacing w:after="180" w:line="450" w:lineRule="atLeast"/>
        <w:ind w:firstLine="480"/>
        <w:rPr>
          <w:rFonts w:ascii="Helvetica" w:eastAsia="宋体" w:cs="Helvetica" w:hAnsi="Helvetica"/>
          <w:color w:val="333333"/>
          <w:kern w:val="0"/>
          <w:sz w:val="28"/>
          <w:szCs w:val="28"/>
        </w:rPr>
      </w:pPr>
      <w:r>
        <w:rPr>
          <w:rFonts w:ascii="Helvetica" w:eastAsia="宋体" w:cs="Helvetica" w:hAnsi="Helvetica"/>
          <w:color w:val="333333"/>
          <w:kern w:val="0"/>
          <w:sz w:val="28"/>
          <w:szCs w:val="28"/>
        </w:rPr>
        <w:t>本清单实施后，《财政部等13个部门关于调整跨境电子商务零售进口商品清单的公告（2018年第157号）》所附的清单同时废止。</w:t>
      </w:r>
    </w:p>
    <w:p>
      <w:pPr>
        <w:widowControl/>
        <w:spacing w:line="450" w:lineRule="atLeast"/>
        <w:ind w:firstLine="480"/>
        <w:rPr>
          <w:rFonts w:ascii="Helvetica" w:eastAsia="宋体" w:cs="Helvetica" w:hAnsi="Helvetica"/>
          <w:color w:val="333333"/>
          <w:kern w:val="0"/>
          <w:sz w:val="28"/>
          <w:szCs w:val="28"/>
        </w:rPr>
      </w:pPr>
      <w:r>
        <w:rPr>
          <w:rFonts w:ascii="Helvetica" w:eastAsia="宋体" w:cs="Helvetica" w:hAnsi="Helvetica"/>
          <w:color w:val="333333"/>
          <w:kern w:val="0"/>
          <w:sz w:val="28"/>
          <w:szCs w:val="28"/>
        </w:rPr>
        <w:t>附件：</w:t>
      </w:r>
      <w:r>
        <w:rPr>
          <w:rFonts w:ascii="Helvetica" w:eastAsia="宋体" w:cs="Helvetica" w:hAnsi="Helvetica"/>
          <w:color w:val="0066CC"/>
          <w:kern w:val="0"/>
          <w:sz w:val="28"/>
          <w:szCs w:val="28"/>
          <w:u w:val="single"/>
        </w:rPr>
        <w:fldChar w:fldCharType="begin"/>
      </w:r>
      <w:r>
        <w:instrText>HYPERLINK "http://www.ctaxnews.com.cn/attachment/2020-01/03/53b52b5e-62a7-4209-919f-69da5c3fcf67.pdf" \o "跨境电子商务零售进口商品清单（2019年版）.pdf"</w:instrText>
      </w:r>
      <w:r>
        <w:rPr>
          <w:rFonts w:ascii="Helvetica" w:eastAsia="宋体" w:cs="Helvetica" w:hAnsi="Helvetica"/>
          <w:color w:val="0066CC"/>
          <w:kern w:val="0"/>
          <w:sz w:val="28"/>
          <w:szCs w:val="28"/>
          <w:u w:val="single"/>
        </w:rPr>
        <w:fldChar w:fldCharType="separate"/>
      </w:r>
      <w:r>
        <w:rPr>
          <w:rFonts w:ascii="Helvetica" w:eastAsia="宋体" w:cs="Helvetica" w:hAnsi="Helvetica"/>
          <w:color w:val="0066CC"/>
          <w:kern w:val="0"/>
          <w:sz w:val="28"/>
          <w:szCs w:val="28"/>
          <w:u w:val="single"/>
        </w:rPr>
        <w:t>跨境电子商务零售进口商品清单（2019年版）.pdf</w:t>
      </w:r>
      <w:r>
        <w:rPr>
          <w:rFonts w:ascii="Helvetica" w:eastAsia="宋体" w:cs="Helvetica" w:hAnsi="Helvetica"/>
          <w:color w:val="0066CC"/>
          <w:kern w:val="0"/>
          <w:sz w:val="28"/>
          <w:szCs w:val="28"/>
          <w:u w:val="single"/>
        </w:rPr>
        <w:fldChar w:fldCharType="end"/>
      </w:r>
    </w:p>
    <w:p>
      <w:pPr>
        <w:widowControl/>
        <w:spacing w:after="180" w:line="450" w:lineRule="atLeast"/>
        <w:ind w:firstLine="480"/>
        <w:jc w:val="right"/>
        <w:rPr>
          <w:rFonts w:ascii="Helvetica" w:eastAsia="宋体" w:cs="Helvetica" w:hAnsi="Helvetica"/>
          <w:color w:val="333333"/>
          <w:kern w:val="0"/>
          <w:sz w:val="28"/>
          <w:szCs w:val="28"/>
        </w:rPr>
      </w:pPr>
      <w:r>
        <w:rPr>
          <w:rFonts w:ascii="Helvetica" w:eastAsia="宋体" w:cs="Helvetica" w:hAnsi="Helvetica"/>
          <w:color w:val="333333"/>
          <w:kern w:val="0"/>
          <w:sz w:val="28"/>
          <w:szCs w:val="28"/>
        </w:rPr>
        <w:t>财政部 发展改革委 工业和信息化部 生态环境部</w:t>
      </w:r>
    </w:p>
    <w:p>
      <w:pPr>
        <w:widowControl/>
        <w:spacing w:after="180" w:line="450" w:lineRule="atLeast"/>
        <w:ind w:firstLine="480"/>
        <w:jc w:val="right"/>
        <w:rPr>
          <w:rFonts w:ascii="Helvetica" w:eastAsia="宋体" w:cs="Helvetica" w:hAnsi="Helvetica"/>
          <w:color w:val="333333"/>
          <w:kern w:val="0"/>
          <w:sz w:val="28"/>
          <w:szCs w:val="28"/>
        </w:rPr>
      </w:pPr>
      <w:r>
        <w:rPr>
          <w:rFonts w:ascii="Helvetica" w:eastAsia="宋体" w:cs="Helvetica" w:hAnsi="Helvetica"/>
          <w:color w:val="333333"/>
          <w:kern w:val="0"/>
          <w:sz w:val="28"/>
          <w:szCs w:val="28"/>
        </w:rPr>
        <w:t>农业农村部 商务部 人民银行 海关总署 税务总局</w:t>
      </w:r>
    </w:p>
    <w:p>
      <w:pPr>
        <w:widowControl/>
        <w:spacing w:after="180" w:line="450" w:lineRule="atLeast"/>
        <w:ind w:firstLine="480"/>
        <w:jc w:val="right"/>
        <w:rPr>
          <w:rFonts w:ascii="Helvetica" w:eastAsia="宋体" w:cs="Helvetica" w:hAnsi="Helvetica"/>
          <w:color w:val="333333"/>
          <w:kern w:val="0"/>
          <w:sz w:val="28"/>
          <w:szCs w:val="28"/>
        </w:rPr>
      </w:pPr>
      <w:r>
        <w:rPr>
          <w:rFonts w:ascii="Helvetica" w:eastAsia="宋体" w:cs="Helvetica" w:hAnsi="Helvetica"/>
          <w:color w:val="333333"/>
          <w:kern w:val="0"/>
          <w:sz w:val="28"/>
          <w:szCs w:val="28"/>
        </w:rPr>
        <w:t>市场监管总局 药监局 密码局 濒管办</w:t>
      </w:r>
    </w:p>
    <w:p>
      <w:pPr>
        <w:widowControl/>
        <w:spacing w:after="180" w:line="450" w:lineRule="atLeast"/>
        <w:ind w:firstLine="480"/>
        <w:jc w:val="right"/>
        <w:rPr>
          <w:sz w:val="28"/>
          <w:szCs w:val="28"/>
        </w:rPr>
      </w:pPr>
      <w:r>
        <w:rPr>
          <w:rFonts w:ascii="Helvetica" w:eastAsia="宋体" w:cs="Helvetica" w:hAnsi="Helvetica"/>
          <w:color w:val="333333"/>
          <w:kern w:val="0"/>
          <w:sz w:val="28"/>
          <w:szCs w:val="28"/>
        </w:rPr>
        <w:t>2019年12月24日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Helvetica">
    <w:altName w:val="Microsoft Sans Serif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0563C1"/>
      <w:u w:val="single"/>
    </w:rPr>
  </w:style>
  <w:style w:type="character" w:customStyle="1" w:styleId="16">
    <w:name w:val="Unresolved Mention"/>
    <w:basedOn w:val="10"/>
    <w:rPr>
      <w:color w:val="605E5C"/>
      <w:shd w:val="clear" w:color="auto" w:fill="E1DFDD"/>
    </w:rPr>
  </w:style>
  <w:style w:type="paragraph" w:customStyle="1" w:styleId="17">
    <w:name w:val="contentfont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59</TotalTime>
  <Application>Yozo_Office</Application>
  <Pages>1</Pages>
  <Words>31</Words>
  <Characters>32</Characters>
  <Lines>2</Lines>
  <Paragraphs>0</Paragraphs>
  <CharactersWithSpaces>32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恩 克赛</dc:creator>
  <cp:lastModifiedBy>张楠</cp:lastModifiedBy>
  <cp:revision>18</cp:revision>
  <dcterms:created xsi:type="dcterms:W3CDTF">2021-11-25T06:31:00Z</dcterms:created>
  <dcterms:modified xsi:type="dcterms:W3CDTF">2021-12-03T08:26:30Z</dcterms:modified>
</cp:coreProperties>
</file>