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sz w:val="36"/>
          <w:szCs w:val="36"/>
        </w:rPr>
        <w:t>赛罕海关关于2025年度海关监管作业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36"/>
          <w:szCs w:val="36"/>
        </w:rPr>
      </w:pPr>
      <w:r>
        <w:rPr>
          <w:rFonts w:ascii="Times New Roman" w:eastAsia="方正小标宋_GBK" w:cs="Times New Roman" w:hAnsi="Times New Roman"/>
          <w:sz w:val="36"/>
          <w:szCs w:val="36"/>
        </w:rPr>
        <w:t>场所涉企行政检查方案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为落实《海关监管作业场所（场地）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双随机、一公开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</w:p>
    <w:p>
      <w:pPr>
        <w:spacing w:line="56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检查工作实施细则》有关要求，严格规范涉企行政检查，提高本辖区海关监管作业场所（场地）检查工作（以下简称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场所检查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）的科学性、规范性，制定本方案。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一、工作任务</w:t>
      </w:r>
    </w:p>
    <w:p>
      <w:pPr>
        <w:pStyle w:val="20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按照海关总署向社会公示的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海关涉企行政检查事项清单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中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对海关监管货物仓储企业的检查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的检查依据、检查标准、检查文书，对经营主体为企业的海关监管作业场所规范开展检查。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二、工作职责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赛罕海关场所检查工作由监管一科牵头组织实施，监管三科配合开展。其中监管一科负责沙良海关监管作业场所、力升物流铁路运输类监管作业场所检查工作，监管三科负责呼和浩特综合保税区海关监管作业场所、呼和浩特综合保税区快递类海关监管作业场所检查工作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三、组织实施</w:t>
      </w:r>
    </w:p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（一）准备阶段（</w:t>
      </w:r>
      <w:r>
        <w:rPr>
          <w:rFonts w:ascii="Times New Roman" w:eastAsia="方正楷体_GBK" w:cs="Times New Roman" w:hAnsi="Times New Roman" w:hint="eastAsia"/>
          <w:sz w:val="32"/>
          <w:szCs w:val="32"/>
        </w:rPr>
        <w:t>2025年8</w:t>
      </w:r>
      <w:r>
        <w:rPr>
          <w:rFonts w:ascii="Times New Roman" w:eastAsia="方正楷体_GBK" w:cs="Times New Roman" w:hAnsi="Times New Roman"/>
          <w:sz w:val="32"/>
          <w:szCs w:val="32"/>
        </w:rPr>
        <w:t>月1</w:t>
      </w:r>
      <w:r>
        <w:rPr>
          <w:rFonts w:ascii="Times New Roman" w:eastAsia="方正楷体_GBK" w:cs="Times New Roman" w:hAnsi="Times New Roman" w:hint="eastAsia"/>
          <w:sz w:val="32"/>
          <w:szCs w:val="32"/>
        </w:rPr>
        <w:t>0</w:t>
      </w:r>
      <w:r>
        <w:rPr>
          <w:rFonts w:ascii="Times New Roman" w:eastAsia="方正楷体_GBK" w:cs="Times New Roman" w:hAnsi="Times New Roman"/>
          <w:sz w:val="32"/>
          <w:szCs w:val="32"/>
        </w:rPr>
        <w:t>日前）。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1.明确检查对象和人员。</w:t>
      </w:r>
    </w:p>
    <w:p>
      <w:pPr>
        <w:pStyle w:val="23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2025年度赛罕海关场所检查工作的检查对象为4个海关监管作业场所，检查名单见附件1。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2025年度赛罕海关场所检查工作由2名海关执法人员实施，执法人员全部持有《中华人民共和国海关执法证》。检查人员以场所监管岗为主，还根据监管业务需要增加了卫生监督、食品安全监督、动植物检疫、商品检验、科技管理等业务人员，人员名单见附件2</w:t>
      </w:r>
      <w:r>
        <w:rPr>
          <w:rFonts w:ascii="Times New Roman" w:eastAsia="方正楷体_GBK" w:cs="Times New Roman" w:hAnsi="Times New Roman"/>
          <w:b/>
          <w:bCs/>
          <w:sz w:val="24"/>
          <w:szCs w:val="24"/>
        </w:rPr>
        <w:t>（检查人员名单可根据实际情况动态调整）</w:t>
      </w:r>
      <w:r>
        <w:rPr>
          <w:rFonts w:ascii="Times New Roman" w:eastAsia="方正仿宋_GBK" w:cs="Times New Roman" w:hAnsi="Times New Roman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2.开展行政检查审批。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根据工作实际，制定《海关监管货物仓储企业行政检查审批表》，报本单位负责人审批。</w:t>
      </w:r>
    </w:p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（二）实施阶段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（2025年度</w:t>
      </w:r>
      <w:r>
        <w:rPr>
          <w:rFonts w:ascii="Times New Roman" w:eastAsia="方正楷体_GBK" w:cs="Times New Roman" w:hAnsi="Times New Roman" w:hint="eastAsia"/>
          <w:b/>
          <w:bCs/>
          <w:sz w:val="32"/>
          <w:szCs w:val="32"/>
        </w:rPr>
        <w:t>8月-12月</w:t>
      </w:r>
      <w:r>
        <w:rPr>
          <w:rFonts w:ascii="Times New Roman" w:eastAsia="方正楷体_GBK" w:cs="Times New Roman" w:hAnsi="Times New Roman"/>
          <w:b/>
          <w:bCs/>
          <w:sz w:val="32"/>
          <w:szCs w:val="32"/>
        </w:rPr>
        <w:t>）</w:t>
      </w:r>
      <w:r>
        <w:rPr>
          <w:rFonts w:ascii="Times New Roman" w:eastAsia="方正楷体_GBK" w:cs="Times New Roman" w:hAnsi="Times New Roman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根据场所检查要求，以半年为单位分步实施。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1.系统派单。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在海关监管作业场所（场地）管理系统中建立或调整检查对象库和人员库。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结合工作实际综合研判确定派单检查项目，随机抽取检查对象，随机选派海关执法人员实施检查。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合理安排检查任务，对每个场所实现半年至少检查1次。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2.检查方式。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检查方式主要分为现场检查和非现场检查。现场检查是指通过实地核查、现场查阅资料、现场询问等方式，对企业开展的行政检查；非现场检查是指通过视频监控、自动巡查、</w:t>
      </w:r>
    </w:p>
    <w:p>
      <w:pPr>
        <w:spacing w:line="560" w:lineRule="exac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智能预警等远程方式，对企业开展的行政检查。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现场检查时，检查人员应携带执法证件、《海关监管货物仓储企业行政检查通知书》等文书，根据实际需要佩戴执法记录仪或音视频单兵设备等信息化设备，前往检查对象场所（场地）进行实地检查。检查人员应如实填写《海关监管货物仓储企业行政检查情况记录表（含现场检查笔录）》。完成检查后，检查结果能当场告知的，应当场告知。不能当场告知的，应及时告知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非现场检查时，检查人员应如实填写《海关监管货物仓储企业行政检查通知书》《海关监管货物仓储企业行政检查情况记录表》等行政检查文书，通过传真、电子邮件、微信、短信等方式送达被检查人，并及时告知检查结果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3.结果公开。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检查结果以《海关监管作业场所（场地）检查结果公示单》的形式公开在呼和浩特海关门户网站（网站），接受社会监督。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/>
          <w:sz w:val="32"/>
          <w:szCs w:val="32"/>
        </w:rPr>
      </w:pPr>
      <w:r>
        <w:rPr>
          <w:rFonts w:ascii="Times New Roman" w:eastAsia="方正仿宋_GBK" w:cs="Times New Roman" w:hAnsi="Times New Roman"/>
          <w:b/>
          <w:sz w:val="32"/>
          <w:szCs w:val="32"/>
        </w:rPr>
        <w:t>4.问题跟进。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及时跟踪场所检查发现问题的处理情况，督促整改到位。</w:t>
      </w:r>
    </w:p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（三）总结阶段（下一年1月底前）。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对上年度场所检查工作规范性、有效性进行自查、评估、总结，发现的共性问题和突出隐患提出工作建议，为后续场所监管工作提供参考依据，并报本单位负责人。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三、相关要求</w:t>
      </w:r>
    </w:p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（一）严格落实规范涉企行政检查要求。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贯彻落实规范涉企行政检查的要求，确保行政检查于法有据、严格规范、公正文明、精准高效，进一步优化营商环境。要切实做到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sz w:val="32"/>
          <w:szCs w:val="32"/>
        </w:rPr>
        <w:t>五个严禁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”“</w:t>
      </w:r>
      <w:r>
        <w:rPr>
          <w:rFonts w:ascii="Times New Roman" w:eastAsia="方正仿宋_GBK" w:cs="Times New Roman" w:hAnsi="Times New Roman"/>
          <w:sz w:val="32"/>
          <w:szCs w:val="32"/>
        </w:rPr>
        <w:t>八个不得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sz w:val="32"/>
          <w:szCs w:val="32"/>
        </w:rPr>
        <w:t>，防止逐利检查、任性检查。严格落实对同一企业实施行政检查的年度频次上限要求，能通过书面核查、信息共享、智慧监管等方式监管的，不得入企实施现场检查。</w:t>
      </w:r>
    </w:p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r>
        <w:rPr>
          <w:rFonts w:ascii="Times New Roman" w:eastAsia="方正楷体_GBK" w:cs="Times New Roman" w:hAnsi="Times New Roman"/>
          <w:sz w:val="32"/>
          <w:szCs w:val="32"/>
        </w:rPr>
        <w:t>（二）严格落实</w:t>
      </w:r>
      <w:r>
        <w:rPr>
          <w:rFonts w:ascii="Times New Roman" w:eastAsia="方正楷体_GBK" w:cs="Times New Roman" w:hAnsi="Times New Roman" w:hint="eastAsia"/>
          <w:sz w:val="32"/>
          <w:szCs w:val="32"/>
        </w:rPr>
        <w:t>“</w:t>
      </w:r>
      <w:r>
        <w:rPr>
          <w:rFonts w:ascii="Times New Roman" w:eastAsia="方正楷体_GBK" w:cs="Times New Roman" w:hAnsi="Times New Roman"/>
          <w:sz w:val="32"/>
          <w:szCs w:val="32"/>
        </w:rPr>
        <w:t>双随机、一公开</w:t>
      </w:r>
      <w:r>
        <w:rPr>
          <w:rFonts w:ascii="Times New Roman" w:eastAsia="方正楷体_GBK" w:cs="Times New Roman" w:hAnsi="Times New Roman" w:hint="eastAsia"/>
          <w:sz w:val="32"/>
          <w:szCs w:val="32"/>
        </w:rPr>
        <w:t>”</w:t>
      </w:r>
      <w:r>
        <w:rPr>
          <w:rFonts w:ascii="Times New Roman" w:eastAsia="方正楷体_GBK" w:cs="Times New Roman" w:hAnsi="Times New Roman"/>
          <w:sz w:val="32"/>
          <w:szCs w:val="32"/>
        </w:rPr>
        <w:t>要求。</w:t>
      </w:r>
    </w:p>
    <w:p>
      <w:pPr>
        <w:pStyle w:val="44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落实随机抽取检查对象、随机选派海关执法人员、及时公开相关结果等工作要求。规范履行出具行政检查通知书，主动出示执法证件，现场检查记录、检查结果告知等工作程序。加强内部监督，严格按时限要求完成检查任务，严格控制非必要的改单操作，切实提高场所检查工作的科学性、规范性。</w:t>
      </w: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 w:hint="eastAsia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 w:hint="eastAsia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附件</w:t>
      </w:r>
    </w:p>
    <w:p>
      <w:pPr>
        <w:pStyle w:val="65"/>
        <w:numPr>
          <w:ilvl w:val="0"/>
          <w:numId w:val="1"/>
        </w:numPr>
        <w:spacing w:line="560" w:lineRule="exact"/>
        <w:ind w:firstLineChars="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检查对象名单</w:t>
      </w:r>
    </w:p>
    <w:tbl>
      <w:tblPr>
        <w:jc w:val="left"/>
        <w:tblInd w:w="-311" w:type="dxa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2973"/>
        <w:gridCol w:w="2727"/>
      </w:tblGrid>
      <w:tr>
        <w:tc>
          <w:tcPr>
            <w:tcW w:w="3434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Cs/>
                <w:sz w:val="28"/>
                <w:szCs w:val="28"/>
              </w:rPr>
              <w:t>场地名称</w:t>
            </w:r>
          </w:p>
        </w:tc>
        <w:tc>
          <w:tcPr>
            <w:tcW w:w="2973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Cs/>
                <w:sz w:val="28"/>
                <w:szCs w:val="28"/>
              </w:rPr>
              <w:t>企业名称</w:t>
            </w:r>
          </w:p>
        </w:tc>
        <w:tc>
          <w:tcPr>
            <w:tcW w:w="2727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Cs/>
                <w:sz w:val="28"/>
                <w:szCs w:val="28"/>
              </w:rPr>
              <w:t>统一社会信用代码</w:t>
            </w:r>
          </w:p>
        </w:tc>
      </w:tr>
      <w:tr>
        <w:tc>
          <w:tcPr>
            <w:tcW w:w="3434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沙良海关监管作业场所</w:t>
            </w:r>
          </w:p>
        </w:tc>
        <w:tc>
          <w:tcPr>
            <w:tcW w:w="297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内蒙古呼铁对外经济技术合作集团有限责任公司</w:t>
            </w:r>
          </w:p>
        </w:tc>
        <w:tc>
          <w:tcPr>
            <w:tcW w:w="2727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91150100743896004G</w:t>
            </w:r>
          </w:p>
        </w:tc>
      </w:tr>
      <w:tr>
        <w:tc>
          <w:tcPr>
            <w:tcW w:w="3434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力升物流铁路运输类监管作业场所</w:t>
            </w:r>
          </w:p>
        </w:tc>
        <w:tc>
          <w:tcPr>
            <w:tcW w:w="297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内蒙古力升物流发展有限公司</w:t>
            </w:r>
          </w:p>
        </w:tc>
        <w:tc>
          <w:tcPr>
            <w:tcW w:w="2727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91150121MA0R8R0T65</w:t>
            </w:r>
          </w:p>
        </w:tc>
      </w:tr>
      <w:tr>
        <w:tc>
          <w:tcPr>
            <w:tcW w:w="3434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呼和浩特综合保税区海关监管作业场所</w:t>
            </w:r>
          </w:p>
        </w:tc>
        <w:tc>
          <w:tcPr>
            <w:tcW w:w="297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呼和浩特市北兴产业投资发展有限责任公司</w:t>
            </w:r>
          </w:p>
        </w:tc>
        <w:tc>
          <w:tcPr>
            <w:tcW w:w="2727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911501915581279751</w:t>
            </w:r>
          </w:p>
        </w:tc>
      </w:tr>
      <w:tr>
        <w:tc>
          <w:tcPr>
            <w:tcW w:w="3434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呼和浩特综合保税区快递类海关监管作业场所</w:t>
            </w:r>
          </w:p>
        </w:tc>
        <w:tc>
          <w:tcPr>
            <w:tcW w:w="2973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呼和浩特市北兴产业投资发展有限责任公司</w:t>
            </w:r>
          </w:p>
        </w:tc>
        <w:tc>
          <w:tcPr>
            <w:tcW w:w="2727" w:type="dxa"/>
          </w:tcPr>
          <w:p>
            <w:pPr>
              <w:spacing w:line="560" w:lineRule="exact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911501915581279751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2．检查人员名单</w:t>
      </w:r>
    </w:p>
    <w:tbl>
      <w:tblPr>
        <w:jc w:val="left"/>
        <w:tblInd w:w="-311" w:type="dxa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1"/>
        <w:gridCol w:w="2839"/>
        <w:gridCol w:w="3145"/>
      </w:tblGrid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人员姓名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工号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科室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韩峰云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0711090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监管一科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焦文超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0713190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监管一科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贾子叶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0760300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监管一科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郑豹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0715920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监管一科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翁楠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0760390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监管三科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蔡超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0722100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监管三科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刘蕴韬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0721490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监管三科</w:t>
            </w:r>
          </w:p>
        </w:tc>
      </w:tr>
      <w:tr>
        <w:tc>
          <w:tcPr>
            <w:tcW w:w="3151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szCs w:val="21"/>
              </w:rPr>
              <w:t>曹文</w:t>
            </w:r>
          </w:p>
        </w:tc>
        <w:tc>
          <w:tcPr>
            <w:tcW w:w="2839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0715930</w:t>
            </w:r>
          </w:p>
        </w:tc>
        <w:tc>
          <w:tcPr>
            <w:tcW w:w="3145" w:type="dxa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 w:hint="eastAsia"/>
                <w:szCs w:val="21"/>
              </w:rPr>
              <w:t>集中审像科</w:t>
            </w: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7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17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6D578EC"/>
    <w:multiLevelType w:val="hybridMultilevel"/>
    <w:tmpl w:val="52482920"/>
    <w:lvl w:ilvl="0">
      <w:start w:val="2"/>
      <w:numFmt w:val="decimal"/>
      <w:lvlRestart w:val="0"/>
      <w:lvlText w:val="%1．"/>
      <w:lvlJc w:val="left"/>
      <w:pPr>
        <w:ind w:left="1135" w:hanging="49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Normal Indent"/>
    <w:basedOn w:val="0"/>
    <w:pPr>
      <w:ind w:firstLine="420"/>
    </w:p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24 10 磅"/>
    <w:next w:val="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">
    <w:name w:val="样式 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53">
    <w:name w:val="index 8"/>
    <w:basedOn w:val="0"/>
    <w:autoRedefine/>
    <w:next w:val="0"/>
    <w:pPr>
      <w:ind w:left="2940"/>
    </w:pPr>
  </w:style>
  <w:style w:type="paragraph" w:customStyle="1" w:styleId="54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">
    <w:name w:val="样式 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">
    <w:name w:val="样式 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List Paragraph"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413</TotalTime>
  <Application>Yozo_Office</Application>
  <Pages>5</Pages>
  <Words>1842</Words>
  <Characters>1982</Characters>
  <Lines>147</Lines>
  <Paragraphs>82</Paragraphs>
  <CharactersWithSpaces>1983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审稿人员1</dc:creator>
  <cp:lastModifiedBy>韩宇</cp:lastModifiedBy>
  <cp:revision>9</cp:revision>
  <dcterms:created xsi:type="dcterms:W3CDTF">2025-03-19T06:56:00Z</dcterms:created>
  <dcterms:modified xsi:type="dcterms:W3CDTF">2025-07-30T05:39:46Z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