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23"/>
        <w:adjustRightInd w:val="0"/>
        <w:snapToGrid w:val="0"/>
        <w:spacing w:line="295" w:lineRule="auto"/>
        <w:ind w:left="0"/>
        <w:jc w:val="center"/>
        <w:rPr>
          <w:rFonts w:ascii="宋体" w:eastAsia="方正黑体_GBK" w:hAnsi="宋体"/>
          <w:sz w:val="32"/>
          <w:szCs w:val="32"/>
        </w:rPr>
      </w:pPr>
      <w:bookmarkStart w:id="0" w:name="_Toc73075007"/>
      <w:r>
        <w:rPr>
          <w:rFonts w:ascii="宋体" w:eastAsia="方正小标宋_GBK" w:hAnsi="宋体" w:hint="eastAsia"/>
          <w:sz w:val="44"/>
          <w:szCs w:val="44"/>
        </w:rPr>
        <w:t>呼和浩特海关202</w:t>
      </w:r>
      <w:r>
        <w:rPr>
          <w:rFonts w:ascii="宋体" w:eastAsia="方正小标宋_GBK" w:hAnsi="宋体"/>
          <w:sz w:val="44"/>
          <w:szCs w:val="44"/>
        </w:rPr>
        <w:t>3</w:t>
      </w:r>
      <w:r>
        <w:rPr>
          <w:rFonts w:ascii="宋体" w:eastAsia="方正小标宋_GBK" w:hAnsi="宋体" w:hint="eastAsia"/>
          <w:sz w:val="44"/>
          <w:szCs w:val="44"/>
        </w:rPr>
        <w:t>年工作</w:t>
      </w:r>
      <w:bookmarkEnd w:id="0"/>
      <w:r>
        <w:rPr>
          <w:rFonts w:ascii="宋体" w:eastAsia="方正小标宋_GBK" w:hAnsi="宋体"/>
          <w:sz w:val="44"/>
          <w:szCs w:val="44"/>
        </w:rPr>
        <w:t>计划</w:t>
      </w:r>
    </w:p>
    <w:p>
      <w:pPr>
        <w:pStyle w:val="123"/>
        <w:adjustRightInd w:val="0"/>
        <w:snapToGrid w:val="0"/>
        <w:spacing w:line="295" w:lineRule="auto"/>
        <w:ind w:firstLineChars="200" w:firstLine="640"/>
        <w:rPr>
          <w:rFonts w:ascii="宋体" w:eastAsia="方正黑体_GBK" w:hAnsi="宋体"/>
          <w:sz w:val="32"/>
          <w:szCs w:val="32"/>
        </w:rPr>
      </w:pPr>
    </w:p>
    <w:p>
      <w:pPr>
        <w:pStyle w:val="123"/>
        <w:adjustRightInd w:val="0"/>
        <w:snapToGrid w:val="0"/>
        <w:spacing w:line="295" w:lineRule="auto"/>
        <w:ind w:firstLineChars="200" w:firstLine="640"/>
        <w:rPr>
          <w:rFonts w:ascii="宋体" w:eastAsia="方正黑体_GBK" w:hAnsi="宋体"/>
          <w:sz w:val="32"/>
          <w:szCs w:val="32"/>
        </w:rPr>
      </w:pPr>
      <w:r>
        <w:rPr>
          <w:rFonts w:ascii="宋体" w:eastAsia="方正黑体_GBK" w:hAnsi="宋体"/>
          <w:sz w:val="32"/>
          <w:szCs w:val="32"/>
        </w:rPr>
        <w:t>2023</w:t>
      </w:r>
      <w:r>
        <w:rPr>
          <w:rFonts w:ascii="宋体" w:eastAsia="方正黑体_GBK" w:hAnsi="宋体" w:hint="eastAsia"/>
          <w:sz w:val="32"/>
          <w:szCs w:val="32"/>
        </w:rPr>
        <w:t>年主要工作打</w:t>
      </w:r>
      <w:bookmarkStart w:id="1" w:name="_GoBack"/>
      <w:bookmarkEnd w:id="1"/>
      <w:r>
        <w:rPr>
          <w:rFonts w:ascii="宋体" w:eastAsia="方正黑体_GBK" w:hAnsi="宋体" w:hint="eastAsia"/>
          <w:sz w:val="32"/>
          <w:szCs w:val="32"/>
        </w:rPr>
        <w:t>算</w:t>
      </w:r>
    </w:p>
    <w:p>
      <w:pPr>
        <w:pStyle w:val="123"/>
        <w:adjustRightInd w:val="0"/>
        <w:snapToGrid w:val="0"/>
        <w:spacing w:line="295" w:lineRule="auto"/>
        <w:ind w:firstLineChars="200" w:firstLine="640"/>
        <w:rPr>
          <w:rFonts w:ascii="宋体" w:eastAsia="方正仿宋_GBK" w:hAnsi="宋体" w:hint="eastAsia"/>
          <w:bCs/>
          <w:sz w:val="32"/>
          <w:szCs w:val="32"/>
        </w:rPr>
      </w:pPr>
      <w:r>
        <w:rPr>
          <w:rFonts w:ascii="宋体" w:eastAsia="方正仿宋_GBK" w:hAnsi="宋体" w:hint="eastAsia"/>
          <w:bCs/>
          <w:sz w:val="32"/>
          <w:szCs w:val="32"/>
        </w:rPr>
        <w:t>2023</w:t>
      </w:r>
      <w:r>
        <w:rPr>
          <w:rFonts w:ascii="宋体" w:eastAsia="方正仿宋_GBK" w:hAnsi="宋体"/>
          <w:bCs/>
          <w:sz w:val="32"/>
          <w:szCs w:val="32"/>
        </w:rPr>
        <w:t>年</w:t>
      </w:r>
      <w:r>
        <w:rPr>
          <w:rFonts w:ascii="宋体" w:eastAsia="方正仿宋_GBK" w:hAnsi="宋体" w:hint="eastAsia"/>
          <w:bCs/>
          <w:sz w:val="32"/>
          <w:szCs w:val="32"/>
        </w:rPr>
        <w:t>，</w:t>
      </w:r>
      <w:r>
        <w:rPr>
          <w:rFonts w:ascii="宋体" w:eastAsia="方正仿宋_GBK" w:hAnsi="宋体"/>
          <w:bCs/>
          <w:sz w:val="32"/>
          <w:szCs w:val="32"/>
        </w:rPr>
        <w:t>我</w:t>
      </w:r>
      <w:r>
        <w:rPr>
          <w:rFonts w:ascii="宋体" w:eastAsia="方正仿宋_GBK" w:hAnsi="宋体" w:hint="eastAsia"/>
          <w:bCs/>
          <w:sz w:val="32"/>
          <w:szCs w:val="32"/>
        </w:rPr>
        <w:t>关将继续全面学习宣传贯彻党的二十大精神，坚定拥护“两个确立”，坚决做到“两个维护”，踔厉奋发、勇毅前行</w:t>
      </w:r>
      <w:r>
        <w:rPr>
          <w:rFonts w:ascii="宋体" w:eastAsia="方正仿宋_GBK" w:hAnsi="宋体"/>
          <w:bCs/>
          <w:sz w:val="32"/>
          <w:szCs w:val="32"/>
        </w:rPr>
        <w:t>，积极</w:t>
      </w:r>
      <w:r>
        <w:rPr>
          <w:rFonts w:ascii="宋体" w:eastAsia="方正仿宋_GBK" w:hAnsi="宋体" w:hint="eastAsia"/>
          <w:bCs/>
          <w:sz w:val="32"/>
          <w:szCs w:val="32"/>
        </w:rPr>
        <w:t>为</w:t>
      </w:r>
      <w:r>
        <w:rPr>
          <w:rFonts w:ascii="宋体" w:eastAsia="方正仿宋_GBK" w:hAnsi="宋体"/>
          <w:bCs/>
          <w:sz w:val="32"/>
          <w:szCs w:val="32"/>
        </w:rPr>
        <w:t>全面推进</w:t>
      </w:r>
      <w:r>
        <w:rPr>
          <w:rFonts w:ascii="宋体" w:eastAsia="方正仿宋_GBK" w:hAnsi="宋体" w:hint="eastAsia"/>
          <w:bCs/>
          <w:sz w:val="32"/>
          <w:szCs w:val="32"/>
        </w:rPr>
        <w:t>社会主义现代化海关建设贡献</w:t>
      </w:r>
      <w:r>
        <w:rPr>
          <w:rFonts w:ascii="宋体" w:eastAsia="方正仿宋_GBK" w:hAnsi="宋体"/>
          <w:bCs/>
          <w:sz w:val="32"/>
          <w:szCs w:val="32"/>
        </w:rPr>
        <w:t>边关</w:t>
      </w:r>
      <w:r>
        <w:rPr>
          <w:rFonts w:ascii="宋体" w:eastAsia="方正仿宋_GBK" w:hAnsi="宋体" w:hint="eastAsia"/>
          <w:bCs/>
          <w:sz w:val="32"/>
          <w:szCs w:val="32"/>
        </w:rPr>
        <w:t>力量。</w:t>
      </w:r>
    </w:p>
    <w:p>
      <w:pPr>
        <w:pStyle w:val="124"/>
        <w:adjustRightInd w:val="0"/>
        <w:snapToGrid w:val="0"/>
        <w:spacing w:line="295" w:lineRule="auto"/>
        <w:ind w:firstLineChars="200" w:firstLine="640"/>
        <w:rPr>
          <w:rFonts w:ascii="宋体" w:eastAsia="方正楷体_GBK" w:hAnsi="宋体" w:hint="eastAsia"/>
          <w:b/>
          <w:bCs/>
        </w:rPr>
      </w:pPr>
      <w:r>
        <w:rPr>
          <w:rFonts w:ascii="宋体" w:eastAsia="方正楷体_GBK" w:hAnsi="宋体" w:hint="eastAsia"/>
          <w:b/>
          <w:bCs/>
        </w:rPr>
        <w:t>（一）</w:t>
      </w:r>
      <w:r>
        <w:rPr>
          <w:rFonts w:ascii="宋体" w:eastAsia="方正楷体_GBK" w:hAnsi="宋体"/>
          <w:b/>
          <w:bCs/>
        </w:rPr>
        <w:t>牢铸忠诚，坚定不移强化政治统领</w:t>
      </w:r>
      <w:r>
        <w:rPr>
          <w:rFonts w:ascii="宋体" w:eastAsia="方正楷体_GBK" w:hAnsi="宋体" w:hint="eastAsia"/>
          <w:b/>
          <w:bCs/>
        </w:rPr>
        <w:t>。</w:t>
      </w:r>
    </w:p>
    <w:p>
      <w:pPr>
        <w:pStyle w:val="124"/>
        <w:adjustRightInd w:val="0"/>
        <w:snapToGrid w:val="0"/>
        <w:spacing w:line="295" w:lineRule="auto"/>
        <w:ind w:firstLineChars="200" w:firstLine="640"/>
        <w:rPr>
          <w:rFonts w:ascii="宋体" w:eastAsia="方正楷体_GBK" w:hAnsi="宋体"/>
          <w:b/>
          <w:bCs/>
        </w:rPr>
      </w:pPr>
      <w:r>
        <w:rPr>
          <w:rFonts w:ascii="宋体" w:hAnsi="宋体"/>
        </w:rPr>
        <w:t>全面</w:t>
      </w:r>
      <w:r>
        <w:rPr>
          <w:rFonts w:ascii="宋体" w:hAnsi="宋体" w:hint="eastAsia"/>
        </w:rPr>
        <w:t>贯彻落实习近平总书记重要指示批示精神和党中央决策部署</w:t>
      </w:r>
      <w:r>
        <w:rPr>
          <w:rFonts w:ascii="宋体" w:eastAsia="方正仿宋_GBK" w:hAnsi="宋体"/>
          <w:color w:val="auto"/>
          <w:spacing w:val="0"/>
          <w:sz w:val="32"/>
          <w:szCs w:val="32"/>
          <w:shd w:val="clear" w:color="auto" w:fill="FFFFFF"/>
        </w:rPr>
        <w:t>，</w:t>
      </w:r>
      <w:r>
        <w:rPr>
          <w:rFonts w:ascii="宋体" w:hAnsi="宋体"/>
          <w:bCs/>
        </w:rPr>
        <w:t>认真落实</w:t>
      </w:r>
      <w:r>
        <w:rPr>
          <w:rFonts w:ascii="宋体" w:hAnsi="宋体" w:hint="eastAsia"/>
          <w:bCs/>
        </w:rPr>
        <w:t>“第一议题”制度</w:t>
      </w:r>
      <w:r>
        <w:rPr>
          <w:rFonts w:ascii="宋体" w:hAnsi="宋体"/>
          <w:bCs/>
        </w:rPr>
        <w:t>，</w:t>
      </w:r>
      <w:r>
        <w:rPr>
          <w:rFonts w:ascii="宋体" w:eastAsia="方正仿宋_GBK" w:hAnsi="宋体"/>
          <w:color w:val="000000"/>
          <w:spacing w:val="0"/>
          <w:sz w:val="32"/>
          <w:szCs w:val="32"/>
          <w:shd w:val="clear" w:color="auto" w:fill="FFFFFF"/>
        </w:rPr>
        <w:t>扎实开展主题教育，</w:t>
      </w:r>
      <w:r>
        <w:rPr>
          <w:rFonts w:ascii="宋体" w:eastAsia="方正仿宋_GBK" w:hAnsi="宋体"/>
          <w:color w:val="000000"/>
          <w:sz w:val="32"/>
          <w:szCs w:val="32"/>
          <w:shd w:val="clear" w:color="auto" w:fill="FFFFFF"/>
        </w:rPr>
        <w:t>确保</w:t>
      </w:r>
      <w:r>
        <w:rPr>
          <w:rFonts w:ascii="宋体" w:eastAsia="方正仿宋_GBK" w:hAnsi="宋体" w:hint="eastAsia"/>
          <w:color w:val="000000"/>
          <w:sz w:val="32"/>
          <w:szCs w:val="32"/>
          <w:shd w:val="clear" w:color="auto" w:fill="FFFFFF"/>
        </w:rPr>
        <w:t>“两个维护”</w:t>
      </w:r>
      <w:r>
        <w:rPr>
          <w:rFonts w:ascii="宋体" w:eastAsia="方正仿宋_GBK" w:hAnsi="宋体"/>
          <w:color w:val="000000"/>
          <w:sz w:val="32"/>
          <w:szCs w:val="32"/>
          <w:shd w:val="clear" w:color="auto" w:fill="FFFFFF"/>
        </w:rPr>
        <w:t>有感悟、有表达、有情感、有行动、有成效。</w:t>
      </w:r>
    </w:p>
    <w:p>
      <w:pPr>
        <w:pStyle w:val="124"/>
        <w:adjustRightInd w:val="0"/>
        <w:snapToGrid w:val="0"/>
        <w:spacing w:line="295" w:lineRule="auto"/>
        <w:ind w:firstLineChars="200" w:firstLine="640"/>
        <w:rPr>
          <w:rFonts w:ascii="宋体" w:eastAsia="方正仿宋_GBK" w:hAnsi="宋体"/>
          <w:sz w:val="32"/>
          <w:szCs w:val="32"/>
        </w:rPr>
      </w:pPr>
      <w:r>
        <w:rPr>
          <w:rFonts w:ascii="宋体" w:eastAsia="方正楷体_GBK" w:hAnsi="宋体" w:hint="eastAsia"/>
          <w:b/>
          <w:bCs/>
        </w:rPr>
        <w:t>（二）勇担使命，坚持不懈服从服务大局。</w:t>
      </w:r>
    </w:p>
    <w:p>
      <w:pPr>
        <w:pStyle w:val="123"/>
        <w:adjustRightInd w:val="0"/>
        <w:snapToGrid w:val="0"/>
        <w:spacing w:line="295" w:lineRule="auto"/>
        <w:ind w:firstLineChars="200" w:firstLine="640"/>
        <w:rPr>
          <w:rFonts w:ascii="宋体" w:eastAsia="方正仿宋_GBK" w:hAnsi="宋体" w:hint="eastAsia"/>
          <w:sz w:val="32"/>
          <w:szCs w:val="32"/>
        </w:rPr>
      </w:pPr>
      <w:r>
        <w:rPr>
          <w:rFonts w:ascii="宋体" w:eastAsia="方正仿宋_GBK" w:hAnsi="宋体" w:hint="eastAsia"/>
          <w:sz w:val="32"/>
          <w:szCs w:val="32"/>
        </w:rPr>
        <w:t>全面</w:t>
      </w:r>
      <w:r>
        <w:rPr>
          <w:rStyle w:val="123Char"/>
          <w:rFonts w:ascii="宋体" w:eastAsia="方正仿宋_GBK" w:hAnsi="宋体" w:hint="eastAsia"/>
          <w:sz w:val="32"/>
          <w:szCs w:val="32"/>
        </w:rPr>
        <w:t>服务</w:t>
      </w:r>
      <w:r>
        <w:rPr>
          <w:rFonts w:ascii="宋体" w:eastAsia="方正仿宋_GBK" w:hAnsi="宋体" w:hint="eastAsia"/>
          <w:sz w:val="32"/>
          <w:szCs w:val="32"/>
        </w:rPr>
        <w:t>中欧班列扩容增量，推动与蒙古国实现“单一窗口”互联互通。</w:t>
      </w:r>
      <w:r>
        <w:rPr>
          <w:rFonts w:ascii="宋体" w:eastAsia="方正仿宋_GBK" w:hAnsi="宋体"/>
          <w:sz w:val="32"/>
          <w:szCs w:val="32"/>
        </w:rPr>
        <w:t>探索对进口煤炭联动实施检验采信和机械化采样模式，</w:t>
      </w:r>
      <w:r>
        <w:rPr>
          <w:rFonts w:ascii="宋体" w:eastAsia="方正仿宋_GBK" w:hAnsi="宋体" w:hint="eastAsia"/>
          <w:sz w:val="32"/>
          <w:szCs w:val="32"/>
        </w:rPr>
        <w:t>大力支持煤炭、铜精矿</w:t>
      </w:r>
      <w:r>
        <w:rPr>
          <w:rFonts w:ascii="宋体" w:eastAsia="方正仿宋_GBK" w:hAnsi="宋体"/>
          <w:sz w:val="32"/>
          <w:szCs w:val="32"/>
        </w:rPr>
        <w:t>以及优质粮食扩大</w:t>
      </w:r>
      <w:r>
        <w:rPr>
          <w:rFonts w:ascii="宋体" w:eastAsia="方正仿宋_GBK" w:hAnsi="宋体" w:hint="eastAsia"/>
          <w:sz w:val="32"/>
          <w:szCs w:val="32"/>
        </w:rPr>
        <w:t>进口，全力支持奶业振兴、种业振兴。深入</w:t>
      </w:r>
      <w:r>
        <w:rPr>
          <w:rFonts w:ascii="宋体" w:eastAsia="方正仿宋_GBK" w:hAnsi="宋体"/>
          <w:sz w:val="32"/>
          <w:szCs w:val="32"/>
        </w:rPr>
        <w:t>推进</w:t>
      </w:r>
      <w:r>
        <w:rPr>
          <w:rFonts w:ascii="宋体" w:eastAsia="方正仿宋_GBK" w:hAnsi="宋体" w:hint="eastAsia"/>
          <w:sz w:val="32"/>
          <w:szCs w:val="32"/>
        </w:rPr>
        <w:t>智慧海关边关实践，</w:t>
      </w:r>
      <w:r>
        <w:rPr>
          <w:rFonts w:ascii="宋体" w:eastAsia="方正仿宋_GBK" w:hAnsi="宋体"/>
          <w:sz w:val="32"/>
          <w:szCs w:val="32"/>
        </w:rPr>
        <w:t>继续</w:t>
      </w:r>
      <w:r>
        <w:rPr>
          <w:rFonts w:ascii="宋体" w:eastAsia="方正仿宋_GBK" w:hAnsi="宋体" w:hint="eastAsia"/>
          <w:sz w:val="32"/>
          <w:szCs w:val="32"/>
        </w:rPr>
        <w:t>探索应</w:t>
      </w:r>
      <w:r>
        <w:rPr>
          <w:rFonts w:ascii="宋体" w:eastAsia="方正仿宋_GBK" w:hAnsi="宋体"/>
          <w:sz w:val="32"/>
          <w:szCs w:val="32"/>
        </w:rPr>
        <w:t>用无人驾驶跨境运输等新型货物交接模式，</w:t>
      </w:r>
      <w:r>
        <w:rPr>
          <w:rFonts w:ascii="宋体" w:eastAsia="方正仿宋_GBK" w:hAnsi="宋体"/>
          <w:snapToGrid w:val="0"/>
          <w:kern w:val="32"/>
          <w:sz w:val="32"/>
          <w:szCs w:val="32"/>
        </w:rPr>
        <w:t>持续强化智慧旅检数字化建设，</w:t>
      </w:r>
      <w:r>
        <w:rPr>
          <w:rFonts w:ascii="宋体" w:eastAsia="方正仿宋_GBK" w:hAnsi="宋体"/>
          <w:bCs/>
          <w:sz w:val="32"/>
          <w:szCs w:val="32"/>
        </w:rPr>
        <w:t>探索构筑</w:t>
      </w:r>
      <w:r>
        <w:rPr>
          <w:rFonts w:ascii="宋体" w:eastAsia="方正仿宋_GBK" w:hAnsi="宋体" w:hint="eastAsia"/>
          <w:bCs/>
          <w:sz w:val="32"/>
          <w:szCs w:val="32"/>
        </w:rPr>
        <w:t>“立体化”</w:t>
      </w:r>
      <w:r>
        <w:rPr>
          <w:rFonts w:ascii="宋体" w:eastAsia="方正仿宋_GBK" w:hAnsi="宋体"/>
          <w:bCs/>
          <w:sz w:val="32"/>
          <w:szCs w:val="32"/>
        </w:rPr>
        <w:t>智慧调度</w:t>
      </w:r>
      <w:r>
        <w:rPr>
          <w:rFonts w:ascii="宋体" w:eastAsia="方正仿宋_GBK" w:hAnsi="宋体" w:hint="eastAsia"/>
          <w:bCs/>
          <w:sz w:val="32"/>
          <w:szCs w:val="32"/>
        </w:rPr>
        <w:t>管理</w:t>
      </w:r>
      <w:r>
        <w:rPr>
          <w:rFonts w:ascii="宋体" w:eastAsia="方正仿宋_GBK" w:hAnsi="宋体"/>
          <w:bCs/>
          <w:sz w:val="32"/>
          <w:szCs w:val="32"/>
        </w:rPr>
        <w:t>体系</w:t>
      </w:r>
      <w:r>
        <w:rPr>
          <w:rFonts w:ascii="宋体" w:eastAsia="方正仿宋_GBK" w:hAnsi="宋体" w:hint="eastAsia"/>
          <w:bCs/>
          <w:sz w:val="32"/>
          <w:szCs w:val="32"/>
        </w:rPr>
        <w:t>，</w:t>
      </w:r>
      <w:r>
        <w:rPr>
          <w:rFonts w:ascii="宋体" w:eastAsia="方正仿宋_GBK" w:hAnsi="宋体"/>
          <w:bCs/>
          <w:sz w:val="32"/>
          <w:szCs w:val="32"/>
        </w:rPr>
        <w:t>实现</w:t>
      </w:r>
      <w:r>
        <w:rPr>
          <w:rFonts w:ascii="宋体" w:eastAsia="方正仿宋_GBK" w:hAnsi="宋体" w:hint="eastAsia"/>
          <w:sz w:val="32"/>
          <w:szCs w:val="32"/>
        </w:rPr>
        <w:t>纵向指挥有力、横向协作紧密、整体运转高效。持续推进研究型海关建设。</w:t>
      </w:r>
    </w:p>
    <w:p>
      <w:pPr>
        <w:pStyle w:val="123"/>
        <w:adjustRightInd w:val="0"/>
        <w:snapToGrid w:val="0"/>
        <w:spacing w:line="295" w:lineRule="auto"/>
        <w:ind w:firstLineChars="200" w:firstLine="640"/>
        <w:rPr>
          <w:rFonts w:ascii="宋体" w:eastAsia="方正楷体_GBK" w:hAnsi="宋体" w:hint="eastAsia"/>
          <w:b/>
          <w:bCs/>
          <w:sz w:val="32"/>
          <w:szCs w:val="32"/>
        </w:rPr>
      </w:pPr>
      <w:r>
        <w:rPr>
          <w:rFonts w:ascii="宋体" w:eastAsia="方正楷体_GBK" w:hAnsi="宋体" w:hint="eastAsia"/>
          <w:b/>
          <w:bCs/>
          <w:sz w:val="32"/>
          <w:szCs w:val="32"/>
        </w:rPr>
        <w:t>（三）严守国门，坚决有力筑牢“两个屏障”。</w:t>
      </w:r>
    </w:p>
    <w:p>
      <w:pPr>
        <w:pStyle w:val="123"/>
        <w:adjustRightInd w:val="0"/>
        <w:snapToGrid w:val="0"/>
        <w:spacing w:line="295" w:lineRule="auto"/>
        <w:ind w:firstLineChars="200" w:firstLine="640"/>
        <w:rPr>
          <w:rFonts w:ascii="宋体" w:eastAsia="方正仿宋_GBK" w:hAnsi="宋体" w:hint="eastAsia"/>
          <w:sz w:val="32"/>
          <w:szCs w:val="32"/>
        </w:rPr>
      </w:pPr>
      <w:r>
        <w:rPr>
          <w:rFonts w:ascii="宋体" w:eastAsia="方正仿宋_GBK" w:hAnsi="宋体" w:hint="eastAsia"/>
          <w:sz w:val="32"/>
          <w:szCs w:val="32"/>
        </w:rPr>
        <w:t>以时时放心不下的责任感，加强预判预警、预案预演，抓好“</w:t>
      </w:r>
      <w:r>
        <w:rPr>
          <w:rFonts w:ascii="宋体" w:eastAsia="方正仿宋_GBK" w:hAnsi="宋体"/>
          <w:sz w:val="32"/>
          <w:szCs w:val="32"/>
        </w:rPr>
        <w:t>8</w:t>
      </w:r>
      <w:r>
        <w:rPr>
          <w:rFonts w:ascii="宋体" w:eastAsia="宋体" w:hint="eastAsia"/>
          <w:sz w:val="32"/>
          <w:szCs w:val="32"/>
        </w:rPr>
        <w:t>＋</w:t>
      </w:r>
      <w:r>
        <w:rPr>
          <w:rFonts w:ascii="宋体" w:eastAsia="方正仿宋_GBK" w:hAnsi="宋体"/>
          <w:sz w:val="32"/>
          <w:szCs w:val="32"/>
        </w:rPr>
        <w:t>19</w:t>
      </w:r>
      <w:r>
        <w:rPr>
          <w:rFonts w:ascii="宋体" w:eastAsia="方正仿宋_GBK" w:hAnsi="宋体" w:hint="eastAsia"/>
          <w:sz w:val="32"/>
          <w:szCs w:val="32"/>
        </w:rPr>
        <w:t>”项重大、系统性风险防范措施落实。稳妥有序优化调整口岸疫情防控措施，坚决筑牢口岸检疫防线。健全完善“境外、口岸、境内”三道防线，切实防范疫情疫病输入。巩固“加强版”危险品安全监管体系，始终保持查缉枪支弹药、毒品、反宣品等高压态势。加大智能审图试点应用力度。</w:t>
      </w:r>
    </w:p>
    <w:p>
      <w:pPr>
        <w:pStyle w:val="123"/>
        <w:adjustRightInd w:val="0"/>
        <w:snapToGrid w:val="0"/>
        <w:spacing w:line="295" w:lineRule="auto"/>
        <w:ind w:firstLineChars="200" w:firstLine="640"/>
        <w:rPr>
          <w:rFonts w:ascii="宋体" w:eastAsia="方正楷体_GBK" w:hAnsi="宋体" w:hint="eastAsia"/>
          <w:b/>
          <w:bCs/>
          <w:sz w:val="32"/>
          <w:szCs w:val="32"/>
        </w:rPr>
      </w:pPr>
      <w:r>
        <w:rPr>
          <w:rFonts w:ascii="宋体" w:eastAsia="方正楷体_GBK" w:hAnsi="宋体" w:hint="eastAsia"/>
          <w:b/>
          <w:bCs/>
          <w:sz w:val="32"/>
          <w:szCs w:val="32"/>
        </w:rPr>
        <w:t>（四）力促发展，锲而不舍构建全方位开放新格局。</w:t>
      </w:r>
    </w:p>
    <w:p>
      <w:pPr>
        <w:pStyle w:val="123"/>
        <w:adjustRightInd w:val="0"/>
        <w:snapToGrid w:val="0"/>
        <w:spacing w:line="295" w:lineRule="auto"/>
        <w:ind w:firstLineChars="200" w:firstLine="640"/>
        <w:rPr>
          <w:rFonts w:ascii="宋体" w:eastAsia="方正仿宋_GBK" w:hAnsi="宋体" w:hint="eastAsia"/>
          <w:sz w:val="32"/>
          <w:szCs w:val="32"/>
        </w:rPr>
      </w:pPr>
      <w:r>
        <w:rPr>
          <w:rFonts w:ascii="宋体" w:eastAsia="方正仿宋_GBK" w:hAnsi="宋体" w:hint="eastAsia"/>
          <w:sz w:val="32"/>
          <w:szCs w:val="32"/>
        </w:rPr>
        <w:t>全力支持优化完善口岸开放格局，支持甘其毛都、策克、满都拉铁路口岸建设。助推综合保税区创新发展，加快壮大跨境电商、二手车出口等新业态新模式，推进二连浩特边民互市贸易进口商品落地加工。加快推进内蒙古农产品技术性贸易措施研究评议基地建设。</w:t>
      </w:r>
    </w:p>
    <w:p>
      <w:pPr>
        <w:pStyle w:val="124"/>
        <w:adjustRightInd w:val="0"/>
        <w:snapToGrid w:val="0"/>
        <w:spacing w:line="295" w:lineRule="auto"/>
        <w:ind w:firstLineChars="200" w:firstLine="640"/>
        <w:rPr>
          <w:rFonts w:ascii="宋体" w:eastAsia="方正楷体_GBK" w:hAnsi="宋体" w:hint="eastAsia"/>
          <w:b/>
          <w:bCs/>
        </w:rPr>
      </w:pPr>
      <w:r>
        <w:rPr>
          <w:rFonts w:ascii="宋体" w:eastAsia="方正楷体_GBK" w:hAnsi="宋体" w:hint="eastAsia"/>
          <w:b/>
          <w:bCs/>
        </w:rPr>
        <w:t>（五）团结奋斗，凝心聚力锻造忠诚干净担当的边关队伍。</w:t>
      </w:r>
    </w:p>
    <w:p>
      <w:pPr>
        <w:pStyle w:val="124"/>
        <w:adjustRightInd w:val="0"/>
        <w:snapToGrid w:val="0"/>
        <w:spacing w:line="295" w:lineRule="auto"/>
        <w:ind w:firstLineChars="200" w:firstLine="640"/>
        <w:rPr>
          <w:rFonts w:ascii="宋体" w:eastAsia="方正仿宋_GBK" w:hAnsi="宋体"/>
          <w:sz w:val="32"/>
          <w:szCs w:val="32"/>
        </w:rPr>
      </w:pPr>
      <w:r>
        <w:rPr>
          <w:rFonts w:ascii="宋体" w:hAnsi="宋体" w:hint="eastAsia"/>
          <w:bCs/>
        </w:rPr>
        <w:t>持续增强基层党组织政治功能和组织功能，</w:t>
      </w:r>
      <w:r>
        <w:rPr>
          <w:rFonts w:ascii="宋体" w:eastAsia="方正仿宋_GBK" w:hAnsi="宋体" w:hint="eastAsia"/>
          <w:sz w:val="32"/>
          <w:szCs w:val="32"/>
          <w:lang w:eastAsia="zh-CN"/>
        </w:rPr>
        <w:t>争创全国海关基层党建特色实训点</w:t>
      </w:r>
      <w:r>
        <w:rPr>
          <w:rFonts w:ascii="宋体" w:eastAsia="方正仿宋_GBK" w:hAnsi="宋体"/>
          <w:sz w:val="32"/>
          <w:szCs w:val="32"/>
          <w:lang w:eastAsia="zh-CN"/>
        </w:rPr>
        <w:t>和</w:t>
      </w:r>
      <w:r>
        <w:rPr>
          <w:rFonts w:ascii="宋体" w:eastAsia="方正仿宋_GBK" w:hAnsi="宋体" w:hint="eastAsia"/>
          <w:sz w:val="32"/>
          <w:szCs w:val="32"/>
          <w:lang w:eastAsia="zh-CN"/>
        </w:rPr>
        <w:t>自治区“最强党支部”示范基地</w:t>
      </w:r>
      <w:r>
        <w:rPr>
          <w:rFonts w:ascii="宋体" w:eastAsia="方正仿宋_GBK" w:hAnsi="宋体" w:hint="eastAsia"/>
          <w:sz w:val="32"/>
          <w:szCs w:val="32"/>
        </w:rPr>
        <w:t>。</w:t>
      </w:r>
      <w:r>
        <w:rPr>
          <w:rFonts w:ascii="宋体" w:eastAsia="方正仿宋_GBK" w:hAnsi="宋体"/>
          <w:color w:val="000000"/>
          <w:sz w:val="32"/>
          <w:szCs w:val="32"/>
        </w:rPr>
        <w:t>坚持</w:t>
      </w:r>
      <w:r>
        <w:rPr>
          <w:rFonts w:ascii="宋体" w:eastAsia="方正仿宋_GBK" w:hAnsi="宋体" w:hint="eastAsia"/>
          <w:color w:val="000000"/>
          <w:sz w:val="32"/>
          <w:szCs w:val="32"/>
        </w:rPr>
        <w:t>“一把尺”“一张单”“一盘棋”</w:t>
      </w:r>
      <w:r>
        <w:rPr>
          <w:rFonts w:ascii="宋体" w:eastAsia="方正仿宋_GBK" w:hAnsi="宋体"/>
          <w:color w:val="000000"/>
          <w:sz w:val="32"/>
          <w:szCs w:val="32"/>
        </w:rPr>
        <w:t>，</w:t>
      </w:r>
      <w:r>
        <w:rPr>
          <w:rFonts w:ascii="宋体" w:eastAsia="方正仿宋_GBK" w:hAnsi="宋体" w:hint="eastAsia"/>
          <w:sz w:val="32"/>
          <w:szCs w:val="32"/>
        </w:rPr>
        <w:t>把新时代好干部标准落到实处，大力培养选拔优秀年轻干部。</w:t>
      </w:r>
      <w:r>
        <w:rPr>
          <w:rFonts w:ascii="宋体" w:eastAsia="方正仿宋_GBK" w:hAnsi="宋体"/>
          <w:sz w:val="32"/>
          <w:szCs w:val="32"/>
        </w:rPr>
        <w:t>弘扬</w:t>
      </w:r>
      <w:r>
        <w:rPr>
          <w:rFonts w:ascii="宋体" w:eastAsia="方正仿宋_GBK" w:hAnsi="宋体" w:hint="eastAsia"/>
          <w:sz w:val="32"/>
          <w:szCs w:val="32"/>
        </w:rPr>
        <w:t>“三</w:t>
      </w:r>
      <w:r>
        <w:rPr>
          <w:rFonts w:ascii="宋体" w:eastAsia="方正仿宋_GBK" w:hAnsi="宋体"/>
          <w:sz w:val="32"/>
          <w:szCs w:val="32"/>
        </w:rPr>
        <w:t>实</w:t>
      </w:r>
      <w:r>
        <w:rPr>
          <w:rFonts w:ascii="宋体" w:eastAsia="方正仿宋_GBK" w:hAnsi="宋体" w:hint="eastAsia"/>
          <w:sz w:val="32"/>
          <w:szCs w:val="32"/>
        </w:rPr>
        <w:t>”海关文化，</w:t>
      </w:r>
      <w:r>
        <w:rPr>
          <w:rFonts w:ascii="宋体" w:eastAsia="方正仿宋_GBK" w:hAnsi="宋体" w:hint="eastAsia"/>
          <w:bCs/>
          <w:sz w:val="32"/>
          <w:szCs w:val="32"/>
        </w:rPr>
        <w:t>保持严的基调不动摇，</w:t>
      </w:r>
      <w:r>
        <w:rPr>
          <w:rFonts w:ascii="宋体" w:eastAsia="方正仿宋_GBK" w:hAnsi="宋体" w:hint="eastAsia"/>
          <w:sz w:val="32"/>
          <w:szCs w:val="32"/>
        </w:rPr>
        <w:t>一体推进“三不腐”，打造边关特色廉洁文化阵地。</w:t>
      </w:r>
    </w:p>
    <w:p>
      <w:pPr>
        <w:rPr>
          <w:rFonts w:ascii="宋体"/>
        </w:rPr>
      </w:pPr>
    </w:p>
    <w:p>
      <w:pPr>
        <w:jc w:val="left"/>
      </w:pPr>
    </w:p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styleId="1">
    <w:name w:val="heading 1"/>
    <w:next w:val="0"/>
    <w:pPr>
      <w:widowControl w:val="0"/>
      <w:spacing w:line="295" w:lineRule="auto"/>
      <w:jc w:val="both"/>
      <w:outlineLvl w:val="0"/>
    </w:pPr>
    <w:rPr>
      <w:rFonts w:ascii="Times New Roman" w:eastAsia="方正黑体_GBK" w:cs="Times New Roman" w:hAnsi="Times New Roman"/>
      <w:spacing w:val="4"/>
      <w:kern w:val="0"/>
      <w:sz w:val="35"/>
      <w:szCs w:val="35"/>
      <w:lang w:val="en-US" w:eastAsia="zh-CN" w:bidi="ar-SA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9">
    <w:name w:val="index 9"/>
    <w:basedOn w:val="0"/>
    <w:autoRedefine/>
    <w:next w:val="0"/>
    <w:pPr>
      <w:ind w:left="3360"/>
    </w:pPr>
  </w:style>
  <w:style w:type="paragraph" w:styleId="24">
    <w:name w:val="toc 5"/>
    <w:basedOn w:val="0"/>
    <w:autoRedefine/>
    <w:next w:val="0"/>
    <w:pPr>
      <w:ind w:left="1680"/>
    </w:pPr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customStyle="1" w:styleId="123">
    <w:name w:val="样式 777 10 磅"/>
    <w:next w:val="19"/>
    <w:link w:val="123Char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character" w:customStyle="1" w:styleId="123Char">
    <w:name w:val="样式 777 10 磅 Char"/>
    <w:basedOn w:val="10"/>
    <w:link w:val="123"/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24">
    <w:name w:val="样式 116 三号"/>
    <w:next w:val="24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2</Pages>
  <Words>896</Words>
  <Characters>906</Characters>
  <Lines>44</Lines>
  <Paragraphs>13</Paragraphs>
  <CharactersWithSpaces>906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李富璋</dc:creator>
  <cp:lastModifiedBy>李富璋</cp:lastModifiedBy>
  <cp:revision>1</cp:revision>
  <dcterms:created xsi:type="dcterms:W3CDTF">2023-03-22T08:52:41Z</dcterms:created>
  <dcterms:modified xsi:type="dcterms:W3CDTF">2023-03-22T08:53:48Z</dcterms:modified>
</cp:coreProperties>
</file>